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BB64" w14:textId="01CA83FF" w:rsidR="00D76F02" w:rsidRPr="000D09B3" w:rsidRDefault="00D76F02" w:rsidP="00D76F02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  <w:b/>
          <w:bCs/>
        </w:rPr>
      </w:pPr>
      <w:r w:rsidRPr="0084652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6D0826" wp14:editId="6022E7DD">
                <wp:simplePos x="0" y="0"/>
                <wp:positionH relativeFrom="margin">
                  <wp:posOffset>27305</wp:posOffset>
                </wp:positionH>
                <wp:positionV relativeFrom="paragraph">
                  <wp:posOffset>-22860</wp:posOffset>
                </wp:positionV>
                <wp:extent cx="5702300" cy="0"/>
                <wp:effectExtent l="0" t="0" r="0" b="0"/>
                <wp:wrapNone/>
                <wp:docPr id="387306314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DB5F8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-1.8pt" to="451.1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07C35" w:rsidRPr="0084652F">
        <w:rPr>
          <w:rFonts w:ascii="Garamond" w:eastAsia="Thoth-Unicode" w:hAnsi="Garamond" w:cs="Thoth-Unicode"/>
          <w:b/>
          <w:bCs/>
          <w:noProof/>
          <w:sz w:val="32"/>
          <w:szCs w:val="28"/>
        </w:rPr>
        <w:t>RÁMCOVÁ</w:t>
      </w:r>
      <w:r w:rsidR="00F07C35">
        <w:rPr>
          <w:rFonts w:ascii="Garamond" w:eastAsia="Thoth-Unicode" w:hAnsi="Garamond" w:cs="Thoth-Unicode"/>
          <w:b/>
          <w:bCs/>
          <w:noProof/>
          <w:sz w:val="32"/>
          <w:szCs w:val="28"/>
        </w:rPr>
        <w:t xml:space="preserve"> </w:t>
      </w:r>
      <w:r>
        <w:rPr>
          <w:rFonts w:ascii="Garamond" w:eastAsia="Thoth-Unicode" w:hAnsi="Garamond" w:cs="Thoth-Unicode"/>
          <w:b/>
          <w:bCs/>
          <w:noProof/>
          <w:sz w:val="32"/>
          <w:szCs w:val="28"/>
        </w:rPr>
        <w:t>SMLOUVA O DÍLO</w:t>
      </w:r>
    </w:p>
    <w:p w14:paraId="586BC9BD" w14:textId="77777777" w:rsidR="00D76F02" w:rsidRDefault="00D76F02" w:rsidP="00D76F02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 xml:space="preserve">uzavřená </w:t>
      </w:r>
      <w:r w:rsidRPr="00E12619">
        <w:rPr>
          <w:rFonts w:ascii="Garamond" w:eastAsia="Thoth-Unicode" w:hAnsi="Garamond" w:cs="Thoth-Unicode"/>
        </w:rPr>
        <w:t xml:space="preserve">podle § </w:t>
      </w:r>
      <w:r>
        <w:rPr>
          <w:rFonts w:ascii="Garamond" w:eastAsia="Thoth-Unicode" w:hAnsi="Garamond" w:cs="Thoth-Unicode"/>
        </w:rPr>
        <w:t xml:space="preserve">2586 </w:t>
      </w:r>
      <w:r w:rsidRPr="00E12619">
        <w:rPr>
          <w:rFonts w:ascii="Garamond" w:eastAsia="Thoth-Unicode" w:hAnsi="Garamond" w:cs="Thoth-Unicode"/>
        </w:rPr>
        <w:t xml:space="preserve">a násl. občanského zákoníku, </w:t>
      </w:r>
      <w:r>
        <w:rPr>
          <w:rFonts w:ascii="Garamond" w:eastAsia="Thoth-Unicode" w:hAnsi="Garamond" w:cs="Thoth-Unicode"/>
        </w:rPr>
        <w:br/>
      </w:r>
      <w:r w:rsidRPr="00E12619">
        <w:rPr>
          <w:rFonts w:ascii="Garamond" w:eastAsia="Thoth-Unicode" w:hAnsi="Garamond" w:cs="Thoth-Unicode"/>
        </w:rPr>
        <w:t>mezi n</w:t>
      </w:r>
      <w:r>
        <w:rPr>
          <w:rFonts w:ascii="Garamond" w:eastAsia="Thoth-Unicode" w:hAnsi="Garamond" w:cs="Thoth-Unicode"/>
        </w:rPr>
        <w:t>í</w:t>
      </w:r>
      <w:r w:rsidRPr="00E12619">
        <w:rPr>
          <w:rFonts w:ascii="Garamond" w:eastAsia="Thoth-Unicode" w:hAnsi="Garamond" w:cs="Thoth-Unicode"/>
        </w:rPr>
        <w:t>že uvedenými smluvními</w:t>
      </w:r>
      <w:r>
        <w:rPr>
          <w:rFonts w:ascii="Garamond" w:eastAsia="Thoth-Unicode" w:hAnsi="Garamond" w:cs="Thoth-Unicode"/>
        </w:rPr>
        <w:t xml:space="preserve"> </w:t>
      </w:r>
      <w:r w:rsidRPr="00E12619">
        <w:rPr>
          <w:rFonts w:ascii="Garamond" w:eastAsia="Thoth-Unicode" w:hAnsi="Garamond" w:cs="Thoth-Unicode"/>
        </w:rPr>
        <w:t>stranami</w:t>
      </w:r>
    </w:p>
    <w:p w14:paraId="3A272C68" w14:textId="7E5E5602" w:rsidR="00D76F02" w:rsidRDefault="00D76F02" w:rsidP="00D76F02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DE93A3" wp14:editId="72FD66D1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5711825" cy="0"/>
                <wp:effectExtent l="9525" t="5715" r="12700" b="13335"/>
                <wp:wrapNone/>
                <wp:docPr id="1117725666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1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B8362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.6pt" to="449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" strokeweight=".5pt">
                <v:stroke joinstyle="miter"/>
              </v:line>
            </w:pict>
          </mc:Fallback>
        </mc:AlternateContent>
      </w:r>
    </w:p>
    <w:p w14:paraId="6D4DDA00" w14:textId="77777777" w:rsidR="005D5A2D" w:rsidRDefault="005D5A2D" w:rsidP="005D5A2D">
      <w:pPr>
        <w:ind w:left="3540" w:hanging="354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8507" w:type="dxa"/>
        <w:tblInd w:w="0" w:type="dxa"/>
        <w:tblLook w:val="04A0" w:firstRow="1" w:lastRow="0" w:firstColumn="1" w:lastColumn="0" w:noHBand="0" w:noVBand="1"/>
      </w:tblPr>
      <w:tblGrid>
        <w:gridCol w:w="3686"/>
        <w:gridCol w:w="4821"/>
      </w:tblGrid>
      <w:tr w:rsidR="009E63C2" w:rsidRPr="00B512AE" w14:paraId="795F0D19" w14:textId="77777777" w:rsidTr="002C3A04">
        <w:trPr>
          <w:trHeight w:val="284"/>
        </w:trPr>
        <w:tc>
          <w:tcPr>
            <w:tcW w:w="3686" w:type="dxa"/>
            <w:vAlign w:val="bottom"/>
          </w:tcPr>
          <w:p w14:paraId="10AC716D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  <w:b/>
              </w:rPr>
              <w:t xml:space="preserve">Název:  </w:t>
            </w:r>
          </w:p>
        </w:tc>
        <w:tc>
          <w:tcPr>
            <w:tcW w:w="4820" w:type="dxa"/>
            <w:vAlign w:val="bottom"/>
          </w:tcPr>
          <w:p w14:paraId="42881373" w14:textId="77777777" w:rsidR="009E63C2" w:rsidRPr="00B512AE" w:rsidRDefault="009E63C2" w:rsidP="009025E8">
            <w:pPr>
              <w:ind w:right="-144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Nemocnice Znojmo, příspěvková organizace</w:t>
            </w:r>
          </w:p>
        </w:tc>
      </w:tr>
      <w:tr w:rsidR="009E63C2" w:rsidRPr="00B512AE" w14:paraId="5E384709" w14:textId="77777777" w:rsidTr="002C3A04">
        <w:trPr>
          <w:trHeight w:val="284"/>
        </w:trPr>
        <w:tc>
          <w:tcPr>
            <w:tcW w:w="3686" w:type="dxa"/>
          </w:tcPr>
          <w:p w14:paraId="4E866E9E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Sídlo:</w:t>
            </w:r>
          </w:p>
        </w:tc>
        <w:tc>
          <w:tcPr>
            <w:tcW w:w="4820" w:type="dxa"/>
          </w:tcPr>
          <w:p w14:paraId="164E8B07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MUDr. Jana Janského 11, 669 02 Znojmo</w:t>
            </w:r>
          </w:p>
        </w:tc>
      </w:tr>
      <w:tr w:rsidR="009E63C2" w:rsidRPr="00B512AE" w14:paraId="2C86E465" w14:textId="77777777" w:rsidTr="002C3A04">
        <w:trPr>
          <w:trHeight w:val="284"/>
        </w:trPr>
        <w:tc>
          <w:tcPr>
            <w:tcW w:w="3686" w:type="dxa"/>
          </w:tcPr>
          <w:p w14:paraId="300A06A7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Zastoupena:</w:t>
            </w:r>
          </w:p>
        </w:tc>
        <w:tc>
          <w:tcPr>
            <w:tcW w:w="4820" w:type="dxa"/>
          </w:tcPr>
          <w:p w14:paraId="0BADFB1B" w14:textId="0F366A8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MUDr. Miroslavem Kavkou, MBA,</w:t>
            </w:r>
            <w:r w:rsidR="002C3A04">
              <w:rPr>
                <w:rFonts w:ascii="Garamond" w:hAnsi="Garamond"/>
              </w:rPr>
              <w:t xml:space="preserve"> FICS,</w:t>
            </w:r>
            <w:r w:rsidRPr="00B512AE">
              <w:rPr>
                <w:rFonts w:ascii="Garamond" w:hAnsi="Garamond"/>
              </w:rPr>
              <w:t xml:space="preserve"> ředitelem</w:t>
            </w:r>
          </w:p>
        </w:tc>
      </w:tr>
      <w:tr w:rsidR="009E63C2" w:rsidRPr="00B512AE" w14:paraId="5727AAEF" w14:textId="77777777" w:rsidTr="002C3A04">
        <w:trPr>
          <w:trHeight w:val="284"/>
        </w:trPr>
        <w:tc>
          <w:tcPr>
            <w:tcW w:w="3686" w:type="dxa"/>
          </w:tcPr>
          <w:p w14:paraId="4DF4C943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IČ:</w:t>
            </w:r>
          </w:p>
          <w:p w14:paraId="42D9EF9F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DIČ:</w:t>
            </w:r>
          </w:p>
        </w:tc>
        <w:tc>
          <w:tcPr>
            <w:tcW w:w="4820" w:type="dxa"/>
          </w:tcPr>
          <w:p w14:paraId="3DCA9043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00092584</w:t>
            </w:r>
          </w:p>
          <w:p w14:paraId="1F0D2A97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 xml:space="preserve">CZ00092584 </w:t>
            </w:r>
          </w:p>
        </w:tc>
      </w:tr>
      <w:tr w:rsidR="009E63C2" w:rsidRPr="00B512AE" w14:paraId="666EBB05" w14:textId="77777777" w:rsidTr="002C3A04">
        <w:trPr>
          <w:trHeight w:val="284"/>
        </w:trPr>
        <w:tc>
          <w:tcPr>
            <w:tcW w:w="3686" w:type="dxa"/>
          </w:tcPr>
          <w:p w14:paraId="27D588FD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Bankovní spojení:</w:t>
            </w:r>
          </w:p>
        </w:tc>
        <w:tc>
          <w:tcPr>
            <w:tcW w:w="4820" w:type="dxa"/>
          </w:tcPr>
          <w:p w14:paraId="45F5168B" w14:textId="77777777" w:rsidR="009E63C2" w:rsidRPr="00B512AE" w:rsidRDefault="009E63C2" w:rsidP="009025E8">
            <w:pPr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Komerční banka a. s.</w:t>
            </w:r>
          </w:p>
        </w:tc>
      </w:tr>
      <w:tr w:rsidR="009E63C2" w:rsidRPr="00B512AE" w14:paraId="66493105" w14:textId="77777777" w:rsidTr="002C3A04">
        <w:trPr>
          <w:trHeight w:val="284"/>
        </w:trPr>
        <w:tc>
          <w:tcPr>
            <w:tcW w:w="3686" w:type="dxa"/>
          </w:tcPr>
          <w:p w14:paraId="41099791" w14:textId="77777777" w:rsidR="009E63C2" w:rsidRPr="00B512AE" w:rsidRDefault="009E63C2" w:rsidP="009025E8">
            <w:pPr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Číslo účtu:</w:t>
            </w:r>
          </w:p>
        </w:tc>
        <w:tc>
          <w:tcPr>
            <w:tcW w:w="4820" w:type="dxa"/>
          </w:tcPr>
          <w:p w14:paraId="28086CF8" w14:textId="74E9F6E4" w:rsidR="009E63C2" w:rsidRPr="000B4231" w:rsidRDefault="001C0761" w:rsidP="009025E8">
            <w:pPr>
              <w:rPr>
                <w:rFonts w:ascii="Garamond" w:hAnsi="Garamond"/>
                <w:highlight w:val="yellow"/>
              </w:rPr>
            </w:pPr>
            <w:r w:rsidRPr="001C0761">
              <w:rPr>
                <w:rFonts w:ascii="Garamond" w:hAnsi="Garamond"/>
              </w:rPr>
              <w:t>14538741/0100</w:t>
            </w:r>
          </w:p>
        </w:tc>
      </w:tr>
      <w:tr w:rsidR="009E63C2" w:rsidRPr="00B512AE" w14:paraId="3613A6E3" w14:textId="77777777" w:rsidTr="002C3A04">
        <w:trPr>
          <w:trHeight w:val="284"/>
        </w:trPr>
        <w:tc>
          <w:tcPr>
            <w:tcW w:w="3686" w:type="dxa"/>
          </w:tcPr>
          <w:p w14:paraId="20EA7F3C" w14:textId="77777777" w:rsidR="009E63C2" w:rsidRPr="00F07C35" w:rsidRDefault="009E63C2" w:rsidP="009025E8">
            <w:pPr>
              <w:ind w:left="142" w:right="9"/>
              <w:jc w:val="both"/>
              <w:rPr>
                <w:rFonts w:ascii="Garamond" w:hAnsi="Garamond"/>
              </w:rPr>
            </w:pPr>
            <w:r w:rsidRPr="00F07C35">
              <w:rPr>
                <w:rFonts w:ascii="Garamond" w:hAnsi="Garamond"/>
              </w:rPr>
              <w:t>Osoba oprávněná k jednáním</w:t>
            </w:r>
          </w:p>
          <w:p w14:paraId="5F1FE248" w14:textId="77777777" w:rsidR="009E63C2" w:rsidRPr="00F07C35" w:rsidRDefault="009E63C2" w:rsidP="009025E8">
            <w:pPr>
              <w:ind w:left="142"/>
              <w:rPr>
                <w:rFonts w:ascii="Garamond" w:hAnsi="Garamond"/>
              </w:rPr>
            </w:pPr>
            <w:r w:rsidRPr="00F07C35">
              <w:rPr>
                <w:rFonts w:ascii="Garamond" w:hAnsi="Garamond"/>
              </w:rPr>
              <w:t>ve věcech technických:</w:t>
            </w:r>
          </w:p>
        </w:tc>
        <w:tc>
          <w:tcPr>
            <w:tcW w:w="4820" w:type="dxa"/>
            <w:vAlign w:val="bottom"/>
          </w:tcPr>
          <w:p w14:paraId="51333F63" w14:textId="46860400" w:rsidR="009E63C2" w:rsidRPr="00F07C35" w:rsidRDefault="007F2258" w:rsidP="009025E8">
            <w:pPr>
              <w:rPr>
                <w:rFonts w:ascii="Garamond" w:hAnsi="Garamond"/>
              </w:rPr>
            </w:pPr>
            <w:r w:rsidRPr="00F07C35">
              <w:rPr>
                <w:rFonts w:ascii="Garamond" w:hAnsi="Garamond"/>
              </w:rPr>
              <w:t xml:space="preserve">Ing. Lumír Koc, MBA, vedoucí odboru HTS tel. 515 215 229, e-mail: </w:t>
            </w:r>
            <w:r w:rsidRPr="00721487">
              <w:rPr>
                <w:rFonts w:ascii="Garamond" w:hAnsi="Garamond"/>
                <w:color w:val="0000FF"/>
                <w:u w:val="single"/>
              </w:rPr>
              <w:t>lumir.koc@nemzn.cz</w:t>
            </w:r>
          </w:p>
        </w:tc>
      </w:tr>
      <w:tr w:rsidR="00A812DB" w:rsidRPr="00B512AE" w14:paraId="557893B6" w14:textId="77777777" w:rsidTr="002C3A04">
        <w:trPr>
          <w:trHeight w:val="284"/>
        </w:trPr>
        <w:tc>
          <w:tcPr>
            <w:tcW w:w="3686" w:type="dxa"/>
          </w:tcPr>
          <w:p w14:paraId="4F8FB5D9" w14:textId="77777777" w:rsidR="00A812DB" w:rsidRPr="00B512AE" w:rsidRDefault="00A812DB" w:rsidP="009025E8">
            <w:pPr>
              <w:ind w:left="142" w:right="9"/>
              <w:jc w:val="both"/>
              <w:rPr>
                <w:rFonts w:ascii="Garamond" w:hAnsi="Garamond"/>
              </w:rPr>
            </w:pPr>
          </w:p>
        </w:tc>
        <w:tc>
          <w:tcPr>
            <w:tcW w:w="4820" w:type="dxa"/>
            <w:vAlign w:val="bottom"/>
          </w:tcPr>
          <w:p w14:paraId="57403686" w14:textId="6DF8AC97" w:rsidR="001C0761" w:rsidRPr="001C0761" w:rsidRDefault="001C0761" w:rsidP="009025E8">
            <w:pPr>
              <w:rPr>
                <w:rFonts w:ascii="Garamond" w:hAnsi="Garamond"/>
              </w:rPr>
            </w:pPr>
          </w:p>
        </w:tc>
      </w:tr>
      <w:tr w:rsidR="009E63C2" w:rsidRPr="00B512AE" w14:paraId="16CC33FB" w14:textId="77777777" w:rsidTr="002C3A04">
        <w:trPr>
          <w:trHeight w:val="284"/>
        </w:trPr>
        <w:tc>
          <w:tcPr>
            <w:tcW w:w="3686" w:type="dxa"/>
          </w:tcPr>
          <w:p w14:paraId="064B62AD" w14:textId="77777777" w:rsidR="009E63C2" w:rsidRPr="00B512AE" w:rsidRDefault="009E63C2" w:rsidP="009025E8">
            <w:pPr>
              <w:ind w:left="142" w:right="9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 xml:space="preserve">Adresa pro doručování </w:t>
            </w:r>
          </w:p>
          <w:p w14:paraId="15153921" w14:textId="77777777" w:rsidR="009E63C2" w:rsidRPr="00B512AE" w:rsidRDefault="009E63C2" w:rsidP="009025E8">
            <w:pPr>
              <w:ind w:left="142" w:right="9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korespondence:</w:t>
            </w:r>
          </w:p>
        </w:tc>
        <w:tc>
          <w:tcPr>
            <w:tcW w:w="4820" w:type="dxa"/>
          </w:tcPr>
          <w:p w14:paraId="6A3D55E4" w14:textId="77777777" w:rsidR="009E63C2" w:rsidRPr="00B512AE" w:rsidRDefault="009E63C2" w:rsidP="009025E8">
            <w:pPr>
              <w:rPr>
                <w:rFonts w:ascii="Garamond" w:hAnsi="Garamond"/>
              </w:rPr>
            </w:pPr>
            <w:bookmarkStart w:id="0" w:name="_Hlk166669486"/>
            <w:r w:rsidRPr="00B512AE">
              <w:rPr>
                <w:rFonts w:ascii="Garamond" w:hAnsi="Garamond"/>
              </w:rPr>
              <w:t>MUDr. Jana Janského 11</w:t>
            </w:r>
            <w:bookmarkEnd w:id="0"/>
          </w:p>
          <w:p w14:paraId="4E1500CA" w14:textId="77777777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</w:rPr>
              <w:t>669 02 Znojmo</w:t>
            </w:r>
          </w:p>
        </w:tc>
      </w:tr>
      <w:tr w:rsidR="000B4231" w:rsidRPr="00B512AE" w14:paraId="455550E9" w14:textId="77777777" w:rsidTr="002C3A04">
        <w:trPr>
          <w:trHeight w:val="284"/>
        </w:trPr>
        <w:tc>
          <w:tcPr>
            <w:tcW w:w="3686" w:type="dxa"/>
          </w:tcPr>
          <w:p w14:paraId="43E2AAC6" w14:textId="0EB9D93B" w:rsidR="000B4231" w:rsidRPr="00B512AE" w:rsidRDefault="000B4231" w:rsidP="009025E8">
            <w:pPr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ID datové schránky:</w:t>
            </w:r>
          </w:p>
        </w:tc>
        <w:tc>
          <w:tcPr>
            <w:tcW w:w="4820" w:type="dxa"/>
          </w:tcPr>
          <w:p w14:paraId="69BE51CF" w14:textId="2B94AB57" w:rsidR="000B4231" w:rsidRPr="00B512AE" w:rsidRDefault="00F02479" w:rsidP="009025E8">
            <w:pPr>
              <w:rPr>
                <w:rFonts w:ascii="Garamond" w:hAnsi="Garamond"/>
              </w:rPr>
            </w:pPr>
            <w:r w:rsidRPr="00F02479">
              <w:rPr>
                <w:rFonts w:ascii="Garamond" w:hAnsi="Garamond"/>
              </w:rPr>
              <w:t>he9k6qg</w:t>
            </w:r>
          </w:p>
        </w:tc>
      </w:tr>
      <w:tr w:rsidR="009E63C2" w:rsidRPr="00B512AE" w14:paraId="29DDB958" w14:textId="77777777" w:rsidTr="002C3A04">
        <w:trPr>
          <w:trHeight w:val="284"/>
        </w:trPr>
        <w:tc>
          <w:tcPr>
            <w:tcW w:w="8507" w:type="dxa"/>
            <w:gridSpan w:val="2"/>
            <w:vAlign w:val="center"/>
          </w:tcPr>
          <w:p w14:paraId="32F2DB8F" w14:textId="454A40D8" w:rsidR="009E63C2" w:rsidRPr="00B512AE" w:rsidRDefault="009E63C2" w:rsidP="009025E8">
            <w:pPr>
              <w:spacing w:before="200" w:after="120" w:line="120" w:lineRule="auto"/>
              <w:ind w:left="142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(dále jen „</w:t>
            </w:r>
            <w:r>
              <w:rPr>
                <w:rFonts w:ascii="Garamond" w:hAnsi="Garamond"/>
              </w:rPr>
              <w:t>objednatel</w:t>
            </w:r>
            <w:r w:rsidRPr="00B512AE">
              <w:rPr>
                <w:rFonts w:ascii="Garamond" w:hAnsi="Garamond"/>
              </w:rPr>
              <w:t>“)</w:t>
            </w:r>
          </w:p>
        </w:tc>
      </w:tr>
      <w:tr w:rsidR="009E63C2" w:rsidRPr="00B512AE" w14:paraId="67A71DDB" w14:textId="77777777" w:rsidTr="002C3A04">
        <w:trPr>
          <w:trHeight w:val="284"/>
        </w:trPr>
        <w:tc>
          <w:tcPr>
            <w:tcW w:w="8507" w:type="dxa"/>
            <w:gridSpan w:val="2"/>
            <w:vAlign w:val="center"/>
          </w:tcPr>
          <w:p w14:paraId="3A1C27E1" w14:textId="77777777" w:rsidR="009E63C2" w:rsidRDefault="009E63C2" w:rsidP="009025E8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  <w:r w:rsidRPr="00B512AE">
              <w:rPr>
                <w:rFonts w:ascii="Garamond" w:hAnsi="Garamond"/>
              </w:rPr>
              <w:t>a</w:t>
            </w:r>
          </w:p>
          <w:p w14:paraId="6532C471" w14:textId="77777777" w:rsidR="009E63C2" w:rsidRPr="00B512AE" w:rsidRDefault="009E63C2" w:rsidP="009025E8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</w:p>
        </w:tc>
      </w:tr>
      <w:tr w:rsidR="009E63C2" w:rsidRPr="00B512AE" w14:paraId="1D182546" w14:textId="77777777" w:rsidTr="002C3A04">
        <w:trPr>
          <w:trHeight w:val="284"/>
        </w:trPr>
        <w:tc>
          <w:tcPr>
            <w:tcW w:w="3686" w:type="dxa"/>
          </w:tcPr>
          <w:p w14:paraId="11314F9A" w14:textId="77777777" w:rsidR="009E63C2" w:rsidRPr="00B512AE" w:rsidRDefault="009E63C2" w:rsidP="009025E8">
            <w:pPr>
              <w:spacing w:after="16" w:line="249" w:lineRule="auto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b/>
                <w:highlight w:val="yellow"/>
              </w:rPr>
              <w:t>Název</w:t>
            </w:r>
          </w:p>
        </w:tc>
        <w:tc>
          <w:tcPr>
            <w:tcW w:w="4820" w:type="dxa"/>
          </w:tcPr>
          <w:p w14:paraId="2BC76FC8" w14:textId="20F9959F" w:rsidR="009E63C2" w:rsidRPr="00B512AE" w:rsidRDefault="009E63C2" w:rsidP="009025E8">
            <w:pPr>
              <w:rPr>
                <w:rFonts w:ascii="Garamond" w:hAnsi="Garamond"/>
                <w:b/>
                <w:highlight w:val="yellow"/>
              </w:rPr>
            </w:pPr>
            <w:bookmarkStart w:id="1" w:name="_Hlk162258537"/>
            <w:r w:rsidRPr="00B512AE">
              <w:rPr>
                <w:rFonts w:ascii="Garamond" w:hAnsi="Garamond"/>
                <w:b/>
                <w:highlight w:val="yellow"/>
              </w:rPr>
              <w:t>…………………………………</w:t>
            </w:r>
            <w:bookmarkEnd w:id="1"/>
            <w:r w:rsidR="000B4231">
              <w:rPr>
                <w:rFonts w:ascii="Garamond" w:hAnsi="Garamond"/>
                <w:b/>
                <w:highlight w:val="yellow"/>
              </w:rPr>
              <w:t>…..</w:t>
            </w:r>
          </w:p>
        </w:tc>
      </w:tr>
      <w:tr w:rsidR="009E63C2" w:rsidRPr="00B512AE" w14:paraId="16B93E7A" w14:textId="77777777" w:rsidTr="002C3A04">
        <w:trPr>
          <w:trHeight w:val="284"/>
        </w:trPr>
        <w:tc>
          <w:tcPr>
            <w:tcW w:w="3686" w:type="dxa"/>
          </w:tcPr>
          <w:p w14:paraId="425AAB32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b/>
                <w:highlight w:val="yellow"/>
              </w:rPr>
            </w:pPr>
            <w:bookmarkStart w:id="2" w:name="_Hlk162258551"/>
            <w:r w:rsidRPr="00B512AE">
              <w:rPr>
                <w:rFonts w:ascii="Garamond" w:hAnsi="Garamond"/>
                <w:highlight w:val="yellow"/>
              </w:rPr>
              <w:t>Sídlo:</w:t>
            </w:r>
          </w:p>
        </w:tc>
        <w:tc>
          <w:tcPr>
            <w:tcW w:w="4820" w:type="dxa"/>
          </w:tcPr>
          <w:p w14:paraId="2B6682EB" w14:textId="77777777" w:rsidR="009E63C2" w:rsidRPr="00B512AE" w:rsidRDefault="009E63C2" w:rsidP="009025E8">
            <w:pPr>
              <w:rPr>
                <w:rFonts w:ascii="Garamond" w:hAnsi="Garamond"/>
                <w:b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……………………………………..</w:t>
            </w:r>
          </w:p>
        </w:tc>
      </w:tr>
      <w:bookmarkEnd w:id="2"/>
      <w:tr w:rsidR="009E63C2" w:rsidRPr="00B512AE" w14:paraId="5F62A12F" w14:textId="77777777" w:rsidTr="002C3A04">
        <w:trPr>
          <w:trHeight w:val="284"/>
        </w:trPr>
        <w:tc>
          <w:tcPr>
            <w:tcW w:w="3686" w:type="dxa"/>
          </w:tcPr>
          <w:p w14:paraId="5B9E7E46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Zastoupena:</w:t>
            </w:r>
          </w:p>
        </w:tc>
        <w:tc>
          <w:tcPr>
            <w:tcW w:w="4820" w:type="dxa"/>
          </w:tcPr>
          <w:p w14:paraId="6A5F26DB" w14:textId="5838853B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</w:t>
            </w:r>
            <w:r w:rsidR="000B4231">
              <w:rPr>
                <w:rFonts w:ascii="Garamond" w:hAnsi="Garamond"/>
                <w:highlight w:val="yellow"/>
              </w:rPr>
              <w:t>……..</w:t>
            </w:r>
          </w:p>
        </w:tc>
      </w:tr>
      <w:tr w:rsidR="009E63C2" w:rsidRPr="00B512AE" w14:paraId="504DA643" w14:textId="77777777" w:rsidTr="002C3A04">
        <w:trPr>
          <w:trHeight w:val="284"/>
        </w:trPr>
        <w:tc>
          <w:tcPr>
            <w:tcW w:w="3686" w:type="dxa"/>
          </w:tcPr>
          <w:p w14:paraId="65CE6B0D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IČ:</w:t>
            </w:r>
          </w:p>
        </w:tc>
        <w:tc>
          <w:tcPr>
            <w:tcW w:w="4820" w:type="dxa"/>
          </w:tcPr>
          <w:p w14:paraId="3AEDCFE7" w14:textId="58FEAE5D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bookmarkStart w:id="3" w:name="_Hlk162258572"/>
            <w:r w:rsidRPr="00B512AE">
              <w:rPr>
                <w:rFonts w:ascii="Garamond" w:hAnsi="Garamond"/>
                <w:highlight w:val="yellow"/>
              </w:rPr>
              <w:t>…………………………………</w:t>
            </w:r>
            <w:bookmarkEnd w:id="3"/>
            <w:r w:rsidR="000B4231">
              <w:rPr>
                <w:rFonts w:ascii="Garamond" w:hAnsi="Garamond"/>
                <w:highlight w:val="yellow"/>
              </w:rPr>
              <w:t>…..</w:t>
            </w:r>
          </w:p>
        </w:tc>
      </w:tr>
      <w:tr w:rsidR="009E63C2" w:rsidRPr="00B512AE" w14:paraId="251C553A" w14:textId="77777777" w:rsidTr="002C3A04">
        <w:trPr>
          <w:trHeight w:val="284"/>
        </w:trPr>
        <w:tc>
          <w:tcPr>
            <w:tcW w:w="3686" w:type="dxa"/>
          </w:tcPr>
          <w:p w14:paraId="4DF02DE8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DIČ:</w:t>
            </w:r>
          </w:p>
        </w:tc>
        <w:tc>
          <w:tcPr>
            <w:tcW w:w="4820" w:type="dxa"/>
          </w:tcPr>
          <w:p w14:paraId="121E07C2" w14:textId="62E8CAC0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</w:t>
            </w:r>
            <w:r w:rsidR="000B4231">
              <w:rPr>
                <w:rFonts w:ascii="Garamond" w:hAnsi="Garamond"/>
                <w:highlight w:val="yellow"/>
              </w:rPr>
              <w:t>…..</w:t>
            </w:r>
          </w:p>
        </w:tc>
      </w:tr>
      <w:tr w:rsidR="009E63C2" w:rsidRPr="00B512AE" w14:paraId="14134BED" w14:textId="77777777" w:rsidTr="002C3A04">
        <w:trPr>
          <w:trHeight w:val="284"/>
        </w:trPr>
        <w:tc>
          <w:tcPr>
            <w:tcW w:w="3686" w:type="dxa"/>
          </w:tcPr>
          <w:p w14:paraId="4AFE4AF1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Bankovní spojení:</w:t>
            </w:r>
          </w:p>
        </w:tc>
        <w:tc>
          <w:tcPr>
            <w:tcW w:w="4820" w:type="dxa"/>
          </w:tcPr>
          <w:p w14:paraId="188DD439" w14:textId="01169D6E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</w:t>
            </w:r>
            <w:r w:rsidR="000B4231">
              <w:rPr>
                <w:rFonts w:ascii="Garamond" w:hAnsi="Garamond"/>
                <w:highlight w:val="yellow"/>
              </w:rPr>
              <w:t>……………..</w:t>
            </w:r>
          </w:p>
        </w:tc>
      </w:tr>
      <w:tr w:rsidR="009E63C2" w:rsidRPr="00B512AE" w14:paraId="66BB9E09" w14:textId="77777777" w:rsidTr="002C3A04">
        <w:trPr>
          <w:trHeight w:val="284"/>
        </w:trPr>
        <w:tc>
          <w:tcPr>
            <w:tcW w:w="3686" w:type="dxa"/>
          </w:tcPr>
          <w:p w14:paraId="435485EF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Číslo účtu:</w:t>
            </w:r>
          </w:p>
          <w:p w14:paraId="1CA2FC91" w14:textId="77777777" w:rsidR="009E63C2" w:rsidRPr="00B512AE" w:rsidRDefault="009E63C2" w:rsidP="009025E8">
            <w:pPr>
              <w:spacing w:after="16"/>
              <w:ind w:left="142" w:right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Osoba oprávněná k jednáním</w:t>
            </w:r>
          </w:p>
        </w:tc>
        <w:tc>
          <w:tcPr>
            <w:tcW w:w="4820" w:type="dxa"/>
          </w:tcPr>
          <w:p w14:paraId="33BFF8E1" w14:textId="768D6C2A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</w:t>
            </w:r>
            <w:r w:rsidR="000B4231">
              <w:rPr>
                <w:rFonts w:ascii="Garamond" w:hAnsi="Garamond"/>
                <w:highlight w:val="yellow"/>
              </w:rPr>
              <w:t>…………..</w:t>
            </w:r>
          </w:p>
        </w:tc>
      </w:tr>
      <w:tr w:rsidR="009E63C2" w:rsidRPr="00B512AE" w14:paraId="2D66EC44" w14:textId="77777777" w:rsidTr="002C3A04">
        <w:trPr>
          <w:trHeight w:val="284"/>
        </w:trPr>
        <w:tc>
          <w:tcPr>
            <w:tcW w:w="3686" w:type="dxa"/>
          </w:tcPr>
          <w:p w14:paraId="46AAB85B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ve věcech technických:</w:t>
            </w:r>
          </w:p>
        </w:tc>
        <w:tc>
          <w:tcPr>
            <w:tcW w:w="4820" w:type="dxa"/>
          </w:tcPr>
          <w:p w14:paraId="1E6F42EB" w14:textId="3AB153DE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</w:t>
            </w:r>
            <w:r w:rsidR="000B4231">
              <w:rPr>
                <w:rFonts w:ascii="Garamond" w:hAnsi="Garamond"/>
                <w:highlight w:val="yellow"/>
              </w:rPr>
              <w:t>……..</w:t>
            </w:r>
          </w:p>
        </w:tc>
      </w:tr>
      <w:tr w:rsidR="009E63C2" w:rsidRPr="00B512AE" w14:paraId="073BBC64" w14:textId="77777777" w:rsidTr="002C3A04">
        <w:trPr>
          <w:trHeight w:val="284"/>
        </w:trPr>
        <w:tc>
          <w:tcPr>
            <w:tcW w:w="3686" w:type="dxa"/>
          </w:tcPr>
          <w:p w14:paraId="6082BDB3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Telefonické a e-mailové spojení:</w:t>
            </w:r>
          </w:p>
        </w:tc>
        <w:tc>
          <w:tcPr>
            <w:tcW w:w="4820" w:type="dxa"/>
          </w:tcPr>
          <w:p w14:paraId="12B4636E" w14:textId="15FEA483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</w:t>
            </w:r>
            <w:r w:rsidR="000B4231">
              <w:rPr>
                <w:rFonts w:ascii="Garamond" w:hAnsi="Garamond"/>
                <w:highlight w:val="yellow"/>
              </w:rPr>
              <w:t>……………..</w:t>
            </w:r>
          </w:p>
          <w:p w14:paraId="2D573FEA" w14:textId="0D013969" w:rsidR="009E63C2" w:rsidRPr="00B512AE" w:rsidRDefault="009E63C2" w:rsidP="009025E8">
            <w:pPr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</w:t>
            </w:r>
            <w:r w:rsidR="000B4231">
              <w:rPr>
                <w:rFonts w:ascii="Garamond" w:hAnsi="Garamond"/>
                <w:highlight w:val="yellow"/>
              </w:rPr>
              <w:t>………..</w:t>
            </w:r>
          </w:p>
        </w:tc>
      </w:tr>
      <w:tr w:rsidR="009E63C2" w:rsidRPr="00B512AE" w14:paraId="4FC48E73" w14:textId="77777777" w:rsidTr="002C3A04">
        <w:trPr>
          <w:trHeight w:val="284"/>
        </w:trPr>
        <w:tc>
          <w:tcPr>
            <w:tcW w:w="3686" w:type="dxa"/>
          </w:tcPr>
          <w:p w14:paraId="19B70DA4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Adresa pro doručování</w:t>
            </w:r>
          </w:p>
          <w:p w14:paraId="1E9300BB" w14:textId="77777777" w:rsidR="009E63C2" w:rsidRPr="00B512AE" w:rsidRDefault="009E63C2" w:rsidP="009025E8">
            <w:pPr>
              <w:ind w:left="142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korespondence:</w:t>
            </w:r>
          </w:p>
        </w:tc>
        <w:tc>
          <w:tcPr>
            <w:tcW w:w="4820" w:type="dxa"/>
          </w:tcPr>
          <w:p w14:paraId="088FC999" w14:textId="5C1F81A7" w:rsidR="009E63C2" w:rsidRPr="00B512AE" w:rsidRDefault="009E63C2" w:rsidP="009025E8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……………………………………</w:t>
            </w:r>
            <w:r w:rsidR="000B4231">
              <w:rPr>
                <w:rFonts w:ascii="Garamond" w:hAnsi="Garamond"/>
                <w:highlight w:val="yellow"/>
              </w:rPr>
              <w:t>..</w:t>
            </w:r>
          </w:p>
          <w:p w14:paraId="184FFDB4" w14:textId="3FBDD689" w:rsidR="009E63C2" w:rsidRPr="00B512AE" w:rsidRDefault="009E63C2" w:rsidP="009025E8">
            <w:pPr>
              <w:jc w:val="both"/>
              <w:rPr>
                <w:rFonts w:ascii="Garamond" w:hAnsi="Garamond"/>
              </w:rPr>
            </w:pPr>
            <w:r w:rsidRPr="00B512AE">
              <w:rPr>
                <w:rFonts w:ascii="Garamond" w:hAnsi="Garamond"/>
                <w:highlight w:val="yellow"/>
              </w:rPr>
              <w:t>……………………………………..</w:t>
            </w:r>
          </w:p>
        </w:tc>
      </w:tr>
      <w:tr w:rsidR="000B4231" w:rsidRPr="00B512AE" w14:paraId="0444F2A4" w14:textId="77777777" w:rsidTr="002C3A04">
        <w:trPr>
          <w:trHeight w:val="284"/>
        </w:trPr>
        <w:tc>
          <w:tcPr>
            <w:tcW w:w="3686" w:type="dxa"/>
          </w:tcPr>
          <w:p w14:paraId="58BD469D" w14:textId="366ACD15" w:rsidR="000B4231" w:rsidRPr="00B512AE" w:rsidRDefault="000B4231" w:rsidP="009025E8">
            <w:pPr>
              <w:ind w:left="142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ID datové schránky:</w:t>
            </w:r>
          </w:p>
        </w:tc>
        <w:tc>
          <w:tcPr>
            <w:tcW w:w="4820" w:type="dxa"/>
          </w:tcPr>
          <w:p w14:paraId="6F101A2E" w14:textId="70DC0AB3" w:rsidR="000B4231" w:rsidRDefault="000B4231" w:rsidP="009025E8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 xml:space="preserve">…………………………………….. </w:t>
            </w:r>
          </w:p>
          <w:p w14:paraId="704AE520" w14:textId="5664AB65" w:rsidR="000B4231" w:rsidRPr="00B512AE" w:rsidRDefault="000B4231" w:rsidP="009025E8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highlight w:val="yellow"/>
              </w:rPr>
            </w:pPr>
            <w:r w:rsidRPr="00B512AE">
              <w:rPr>
                <w:rFonts w:ascii="Garamond" w:hAnsi="Garamond"/>
                <w:highlight w:val="yellow"/>
              </w:rPr>
              <w:t>(</w:t>
            </w:r>
            <w:r w:rsidRPr="00B512AE">
              <w:rPr>
                <w:rFonts w:ascii="Garamond" w:hAnsi="Garamond"/>
                <w:i/>
                <w:highlight w:val="yellow"/>
              </w:rPr>
              <w:t xml:space="preserve">vyplní </w:t>
            </w:r>
            <w:r>
              <w:rPr>
                <w:rFonts w:ascii="Garamond" w:hAnsi="Garamond"/>
                <w:i/>
                <w:highlight w:val="yellow"/>
              </w:rPr>
              <w:t>zhotovitel</w:t>
            </w:r>
            <w:r w:rsidRPr="00B512AE">
              <w:rPr>
                <w:rFonts w:ascii="Garamond" w:hAnsi="Garamond"/>
                <w:i/>
                <w:highlight w:val="yellow"/>
              </w:rPr>
              <w:t>)</w:t>
            </w:r>
          </w:p>
        </w:tc>
      </w:tr>
      <w:tr w:rsidR="009E63C2" w:rsidRPr="00B512AE" w14:paraId="219094DD" w14:textId="77777777" w:rsidTr="002C3A04">
        <w:trPr>
          <w:trHeight w:val="284"/>
        </w:trPr>
        <w:tc>
          <w:tcPr>
            <w:tcW w:w="3686" w:type="dxa"/>
            <w:vAlign w:val="center"/>
          </w:tcPr>
          <w:p w14:paraId="4299A420" w14:textId="1362B8EE" w:rsidR="009E63C2" w:rsidRPr="009E63C2" w:rsidRDefault="009E63C2" w:rsidP="009025E8">
            <w:pPr>
              <w:spacing w:before="200" w:after="200"/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</w:pPr>
            <w:r w:rsidRPr="009E63C2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>(dále jen „zhotovitel“)</w:t>
            </w:r>
          </w:p>
        </w:tc>
        <w:tc>
          <w:tcPr>
            <w:tcW w:w="4820" w:type="dxa"/>
            <w:vAlign w:val="center"/>
          </w:tcPr>
          <w:p w14:paraId="1B3A2B01" w14:textId="77777777" w:rsidR="009E63C2" w:rsidRPr="00B512AE" w:rsidRDefault="009E63C2" w:rsidP="009025E8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</w:rPr>
            </w:pPr>
          </w:p>
        </w:tc>
      </w:tr>
    </w:tbl>
    <w:p w14:paraId="119C8E58" w14:textId="2EF50C59" w:rsidR="009E63C2" w:rsidRDefault="009E63C2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tímto uzavírají tuto smlouvu jako výsledek zadávacího řízení na realizaci veřejné zakázky malého rozsahu nazvané </w:t>
      </w:r>
      <w:r w:rsidR="002C7D37" w:rsidRPr="002C7D37">
        <w:rPr>
          <w:rFonts w:ascii="Garamond" w:hAnsi="Garamond" w:cs="Arial"/>
          <w:b/>
          <w:bCs/>
        </w:rPr>
        <w:t>„</w:t>
      </w:r>
      <w:bookmarkStart w:id="4" w:name="_Hlk190944341"/>
      <w:r w:rsidR="002C3A04" w:rsidRPr="002C3A04">
        <w:rPr>
          <w:rFonts w:ascii="Garamond" w:hAnsi="Garamond" w:cs="Arial"/>
          <w:b/>
          <w:bCs/>
        </w:rPr>
        <w:t>Zhotovení průkazů energetické náročnosti budov (PENB)</w:t>
      </w:r>
      <w:r w:rsidR="002C3A04" w:rsidRPr="002C3A04">
        <w:rPr>
          <w:rFonts w:ascii="Garamond" w:hAnsi="Garamond" w:cs="Arial" w:hint="eastAsia"/>
          <w:b/>
          <w:bCs/>
        </w:rPr>
        <w:t xml:space="preserve"> na objektech Nemocnice Znojmo</w:t>
      </w:r>
      <w:bookmarkEnd w:id="4"/>
      <w:r w:rsidRPr="002C7D37">
        <w:rPr>
          <w:rFonts w:ascii="Garamond" w:hAnsi="Garamond" w:cs="Arial"/>
          <w:b/>
          <w:bCs/>
        </w:rPr>
        <w:t>“</w:t>
      </w:r>
      <w:r w:rsidRPr="009E63C2">
        <w:rPr>
          <w:rFonts w:ascii="Garamond" w:hAnsi="Garamond" w:cs="Arial"/>
        </w:rPr>
        <w:t xml:space="preserve"> (dále jen „veřejná zakázka“), v souladu se zákonem č. 134/2016 Sb., o zadávání veřejných zakázek, ve znění pozdějších předpisů.</w:t>
      </w:r>
    </w:p>
    <w:p w14:paraId="03F5F590" w14:textId="13E34A0D" w:rsidR="005D5A2D" w:rsidRDefault="00C41A7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eastAsiaTheme="minorHAnsi" w:hAnsi="Garamond" w:cs="Arial"/>
          <w:b/>
          <w:bCs/>
          <w:kern w:val="2"/>
          <w:lang w:eastAsia="en-US"/>
          <w14:ligatures w14:val="standardContextual"/>
        </w:rPr>
      </w:pPr>
      <w:r w:rsidRPr="009E63C2">
        <w:rPr>
          <w:rFonts w:ascii="Garamond" w:hAnsi="Garamond" w:cs="Arial"/>
          <w:b/>
          <w:bCs/>
        </w:rPr>
        <w:t>1</w:t>
      </w:r>
      <w:r w:rsidRPr="009E63C2">
        <w:rPr>
          <w:rFonts w:ascii="Garamond" w:eastAsiaTheme="minorHAnsi" w:hAnsi="Garamond" w:cs="Arial"/>
          <w:b/>
          <w:bCs/>
          <w:kern w:val="2"/>
          <w:lang w:eastAsia="en-US"/>
          <w14:ligatures w14:val="standardContextual"/>
        </w:rPr>
        <w:t>.</w:t>
      </w:r>
    </w:p>
    <w:p w14:paraId="27B31884" w14:textId="46249CCD" w:rsidR="00E371B6" w:rsidRPr="009E63C2" w:rsidRDefault="00E371B6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eastAsiaTheme="minorHAnsi" w:hAnsi="Garamond" w:cs="Arial"/>
          <w:b/>
          <w:bCs/>
          <w:kern w:val="2"/>
          <w:lang w:eastAsia="en-US"/>
          <w14:ligatures w14:val="standardContextual"/>
        </w:rPr>
      </w:pPr>
      <w:r>
        <w:rPr>
          <w:rFonts w:ascii="Garamond" w:hAnsi="Garamond" w:cs="Arial"/>
          <w:b/>
          <w:bCs/>
        </w:rPr>
        <w:t>Předmět plnění</w:t>
      </w:r>
    </w:p>
    <w:p w14:paraId="05FE6DA4" w14:textId="10237735" w:rsidR="002C7D37" w:rsidRDefault="00BC3160" w:rsidP="009E63C2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="002C7D37">
        <w:rPr>
          <w:rFonts w:ascii="Garamond" w:hAnsi="Garamond" w:cs="Arial"/>
        </w:rPr>
        <w:t>Zhotovitel je osobou oprávněnou k</w:t>
      </w:r>
      <w:r w:rsidR="002C3A04">
        <w:rPr>
          <w:rFonts w:ascii="Garamond" w:hAnsi="Garamond" w:cs="Arial"/>
        </w:rPr>
        <w:t xml:space="preserve">e zpracování průkazu energetické náročnosti budov v souladu se zákonem č. 406/2000 Sb., </w:t>
      </w:r>
      <w:r w:rsidR="002C3A04" w:rsidRPr="002C3A04">
        <w:rPr>
          <w:rFonts w:ascii="Garamond" w:hAnsi="Garamond" w:cs="Arial"/>
        </w:rPr>
        <w:t>o hospodaření energií</w:t>
      </w:r>
      <w:r w:rsidR="002C3A04">
        <w:rPr>
          <w:rFonts w:ascii="Garamond" w:hAnsi="Garamond" w:cs="Arial"/>
        </w:rPr>
        <w:t>, v platném znění</w:t>
      </w:r>
      <w:r>
        <w:rPr>
          <w:rFonts w:ascii="Garamond" w:hAnsi="Garamond" w:cs="Arial"/>
        </w:rPr>
        <w:t>.</w:t>
      </w:r>
    </w:p>
    <w:p w14:paraId="0A88526E" w14:textId="77777777" w:rsidR="002C3A04" w:rsidRPr="002C3A04" w:rsidRDefault="002C3A04" w:rsidP="00E371B6">
      <w:pPr>
        <w:ind w:firstLine="708"/>
        <w:rPr>
          <w:rFonts w:ascii="Garamond" w:hAnsi="Garamond" w:cs="Arial"/>
        </w:rPr>
      </w:pPr>
    </w:p>
    <w:p w14:paraId="62D4CBBC" w14:textId="17313668" w:rsidR="00BD6274" w:rsidRDefault="00BC3160" w:rsidP="009E63C2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(2) </w:t>
      </w:r>
      <w:r w:rsidR="005D5A2D" w:rsidRPr="009E63C2">
        <w:rPr>
          <w:rFonts w:ascii="Garamond" w:hAnsi="Garamond" w:cs="Arial"/>
        </w:rPr>
        <w:t xml:space="preserve">Zhotovitel se zavazuje, </w:t>
      </w:r>
      <w:r w:rsidR="004F66FB" w:rsidRPr="009E63C2">
        <w:rPr>
          <w:rFonts w:ascii="Garamond" w:hAnsi="Garamond" w:cs="Arial"/>
        </w:rPr>
        <w:t>že pro objednatele provede dílo</w:t>
      </w:r>
      <w:r w:rsidR="005D5A2D" w:rsidRPr="009E63C2">
        <w:rPr>
          <w:rFonts w:ascii="Garamond" w:hAnsi="Garamond" w:cs="Arial"/>
        </w:rPr>
        <w:t xml:space="preserve"> spočívající v</w:t>
      </w:r>
      <w:r w:rsidR="002C3A04">
        <w:rPr>
          <w:rFonts w:ascii="Garamond" w:hAnsi="Garamond" w:cs="Arial"/>
        </w:rPr>
        <w:t>e zpracování průkazů energetické náročnosti budov objednatele, jejichž vymezení je uvedeno v příloze č. 1 k této smlouvě.</w:t>
      </w:r>
    </w:p>
    <w:p w14:paraId="1F248420" w14:textId="1CE2C6B2" w:rsidR="004F66FB" w:rsidRPr="0084652F" w:rsidRDefault="00BD6274" w:rsidP="009E63C2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(3) </w:t>
      </w:r>
      <w:r w:rsidR="00B87587" w:rsidRPr="009E63C2">
        <w:rPr>
          <w:rFonts w:ascii="Garamond" w:hAnsi="Garamond" w:cs="Arial"/>
        </w:rPr>
        <w:t xml:space="preserve">Při provádění díla se pak </w:t>
      </w:r>
      <w:r w:rsidR="00B87587" w:rsidRPr="0084652F">
        <w:rPr>
          <w:rFonts w:ascii="Garamond" w:hAnsi="Garamond" w:cs="Arial"/>
        </w:rPr>
        <w:t xml:space="preserve">zhotovitel zavazuje postupovat </w:t>
      </w:r>
      <w:r w:rsidR="00827D45" w:rsidRPr="0084652F">
        <w:rPr>
          <w:rFonts w:ascii="Garamond" w:hAnsi="Garamond" w:cs="Arial"/>
        </w:rPr>
        <w:t xml:space="preserve">v souladu s obecně závaznými právními předpisy, technickými normami a pokyny objednatele. </w:t>
      </w:r>
      <w:r w:rsidR="00A40E8D" w:rsidRPr="0084652F">
        <w:rPr>
          <w:rFonts w:ascii="Garamond" w:hAnsi="Garamond" w:cs="Arial"/>
        </w:rPr>
        <w:t xml:space="preserve">Činnosti zhotovitele ke zhotovení díla v jednotlivých objektech objednatele je zhotovitel povinen vykonávat výhradně v době odsouhlasené objednatelem. </w:t>
      </w:r>
      <w:r w:rsidR="00827D45" w:rsidRPr="0084652F">
        <w:rPr>
          <w:rFonts w:ascii="Garamond" w:hAnsi="Garamond" w:cs="Arial"/>
        </w:rPr>
        <w:t xml:space="preserve">Zhotovitel je dále povinen při provádění díla postupovat </w:t>
      </w:r>
      <w:r w:rsidR="00B87587" w:rsidRPr="0084652F">
        <w:rPr>
          <w:rFonts w:ascii="Garamond" w:hAnsi="Garamond" w:cs="Arial"/>
        </w:rPr>
        <w:t>tak, aby nebyl narušen provoz zdravotnického zařízení objednatele</w:t>
      </w:r>
      <w:r w:rsidR="009E63C2" w:rsidRPr="0084652F">
        <w:rPr>
          <w:rFonts w:ascii="Garamond" w:hAnsi="Garamond" w:cs="Arial"/>
        </w:rPr>
        <w:t>.</w:t>
      </w:r>
      <w:r w:rsidR="00FC6288" w:rsidRPr="0084652F">
        <w:rPr>
          <w:rFonts w:ascii="Garamond" w:hAnsi="Garamond" w:cs="Arial"/>
        </w:rPr>
        <w:t xml:space="preserve"> </w:t>
      </w:r>
    </w:p>
    <w:p w14:paraId="01E05E0F" w14:textId="77777777" w:rsidR="00C41A7C" w:rsidRPr="0084652F" w:rsidRDefault="00C41A7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84652F">
        <w:rPr>
          <w:rFonts w:ascii="Garamond" w:hAnsi="Garamond" w:cs="Arial"/>
          <w:b/>
          <w:bCs/>
        </w:rPr>
        <w:t>2.</w:t>
      </w:r>
    </w:p>
    <w:p w14:paraId="473B7B4D" w14:textId="4FF60B65" w:rsidR="00E371B6" w:rsidRPr="0084652F" w:rsidRDefault="00E371B6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84652F">
        <w:rPr>
          <w:rFonts w:ascii="Garamond" w:hAnsi="Garamond" w:cs="Arial"/>
          <w:b/>
          <w:bCs/>
        </w:rPr>
        <w:t>Způsob a místo plnění</w:t>
      </w:r>
    </w:p>
    <w:p w14:paraId="7A273F95" w14:textId="14962143" w:rsidR="00FC6288" w:rsidRPr="0084652F" w:rsidRDefault="00827D45" w:rsidP="00FC6288">
      <w:pPr>
        <w:pStyle w:val="Default"/>
        <w:spacing w:after="120"/>
        <w:jc w:val="both"/>
        <w:rPr>
          <w:rFonts w:ascii="Garamond" w:hAnsi="Garamond" w:cs="Arial"/>
        </w:rPr>
      </w:pPr>
      <w:r w:rsidRPr="0084652F">
        <w:rPr>
          <w:rFonts w:ascii="Garamond" w:eastAsiaTheme="minorHAnsi" w:hAnsi="Garamond" w:cs="Arial"/>
          <w:kern w:val="2"/>
          <w:lang w:eastAsia="en-US"/>
          <w14:ligatures w14:val="standardContextual"/>
        </w:rPr>
        <w:t xml:space="preserve">(1) </w:t>
      </w:r>
      <w:r w:rsidR="00C41A7C" w:rsidRPr="0084652F">
        <w:rPr>
          <w:rFonts w:ascii="Garamond" w:eastAsiaTheme="minorHAnsi" w:hAnsi="Garamond" w:cs="Arial"/>
          <w:kern w:val="2"/>
          <w:lang w:eastAsia="en-US"/>
          <w14:ligatures w14:val="standardContextual"/>
        </w:rPr>
        <w:t xml:space="preserve">Závazek zhotovitele k provedení díla podle čl. 1 této smlouvy </w:t>
      </w:r>
      <w:r w:rsidR="00003D56" w:rsidRPr="0084652F">
        <w:rPr>
          <w:rFonts w:ascii="Garamond" w:eastAsiaTheme="minorHAnsi" w:hAnsi="Garamond" w:cs="Arial"/>
          <w:kern w:val="2"/>
          <w:lang w:eastAsia="en-US"/>
          <w14:ligatures w14:val="standardContextual"/>
        </w:rPr>
        <w:t xml:space="preserve">bude plněn na základě dílčích </w:t>
      </w:r>
      <w:r w:rsidR="00FC6288" w:rsidRPr="0084652F">
        <w:rPr>
          <w:rFonts w:ascii="Garamond" w:eastAsiaTheme="minorHAnsi" w:hAnsi="Garamond" w:cs="Arial"/>
          <w:kern w:val="2"/>
          <w:lang w:eastAsia="en-US"/>
          <w14:ligatures w14:val="standardContextual"/>
        </w:rPr>
        <w:t xml:space="preserve">smluv o dílo. </w:t>
      </w:r>
      <w:r w:rsidR="00FC6288" w:rsidRPr="0084652F">
        <w:rPr>
          <w:rFonts w:ascii="Garamond" w:hAnsi="Garamond" w:cs="Arial"/>
        </w:rPr>
        <w:t xml:space="preserve">Není-li dále ujednáno jinak, jednotlivá dílčí smlouva o dílo se přitom za uzavřenou doručením jednotlivé výzvy (objednávky) objednatele do rukou zhotovitele, a to ve znění, daném touto výzvou (objednávkou) a touto rámcovou smlouvou o dílo. Výzva objednatele musí vždy obsahovat údaj o objektu objednatele dle přílohy č. 1 k této smlouvě, datum a podpis objednatele. Výzvu (objednávku) lze podat písemnou nebo elektronickou formou. </w:t>
      </w:r>
      <w:r w:rsidR="00A40E8D" w:rsidRPr="0084652F">
        <w:rPr>
          <w:rFonts w:ascii="Garamond" w:hAnsi="Garamond" w:cs="Arial"/>
        </w:rPr>
        <w:t>Zhotovitel je povinen přijetí objednávky písemně potvrdit.</w:t>
      </w:r>
    </w:p>
    <w:p w14:paraId="30D92241" w14:textId="5E86B412" w:rsidR="00827D45" w:rsidRDefault="00827D45" w:rsidP="009E63C2">
      <w:pPr>
        <w:spacing w:after="120" w:line="259" w:lineRule="auto"/>
        <w:jc w:val="both"/>
        <w:rPr>
          <w:rFonts w:ascii="Garamond" w:eastAsiaTheme="minorHAnsi" w:hAnsi="Garamond" w:cs="Arial"/>
          <w:kern w:val="2"/>
          <w:lang w:eastAsia="en-US"/>
          <w14:ligatures w14:val="standardContextual"/>
        </w:rPr>
      </w:pPr>
      <w:r w:rsidRPr="0084652F">
        <w:rPr>
          <w:rFonts w:ascii="Garamond" w:hAnsi="Garamond" w:cs="Arial"/>
        </w:rPr>
        <w:t xml:space="preserve">(2) </w:t>
      </w:r>
      <w:r w:rsidR="00FC6288" w:rsidRPr="0084652F">
        <w:rPr>
          <w:rFonts w:ascii="Garamond" w:hAnsi="Garamond" w:cs="Arial"/>
        </w:rPr>
        <w:t xml:space="preserve">Závazek ke zhotovení díla dle dílčí smlouvy o dílo </w:t>
      </w:r>
      <w:r w:rsidRPr="0084652F">
        <w:rPr>
          <w:rFonts w:ascii="Garamond" w:hAnsi="Garamond" w:cs="Arial"/>
        </w:rPr>
        <w:t xml:space="preserve">je zhotovitel povinen provést nejpozději do </w:t>
      </w:r>
      <w:r w:rsidR="007F2258" w:rsidRPr="0084652F">
        <w:rPr>
          <w:rFonts w:ascii="Garamond" w:hAnsi="Garamond" w:cs="Arial"/>
        </w:rPr>
        <w:t>60</w:t>
      </w:r>
      <w:r w:rsidRPr="0084652F">
        <w:rPr>
          <w:rFonts w:ascii="Garamond" w:hAnsi="Garamond" w:cs="Arial"/>
        </w:rPr>
        <w:t xml:space="preserve"> dnů od doručení </w:t>
      </w:r>
      <w:r w:rsidR="00A40E8D" w:rsidRPr="0084652F">
        <w:rPr>
          <w:rFonts w:ascii="Garamond" w:hAnsi="Garamond" w:cs="Arial"/>
        </w:rPr>
        <w:t xml:space="preserve">výzvy </w:t>
      </w:r>
      <w:r w:rsidRPr="0084652F">
        <w:rPr>
          <w:rFonts w:ascii="Garamond" w:hAnsi="Garamond" w:cs="Arial"/>
        </w:rPr>
        <w:t>dle odst. 1.</w:t>
      </w:r>
    </w:p>
    <w:p w14:paraId="3F24FD01" w14:textId="77777777" w:rsidR="005D5A2D" w:rsidRPr="009E63C2" w:rsidRDefault="00C41A7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3.</w:t>
      </w:r>
    </w:p>
    <w:p w14:paraId="5BD20D0E" w14:textId="6C883CFB" w:rsidR="00517E0C" w:rsidRDefault="00003D56" w:rsidP="009E63C2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Závazek zhotovitele k provedení příslušné části díla se považuje za splněný předáním příslušného průkazu </w:t>
      </w:r>
      <w:r w:rsidR="00827D45">
        <w:rPr>
          <w:rFonts w:ascii="Garamond" w:hAnsi="Garamond" w:cs="Arial"/>
        </w:rPr>
        <w:t xml:space="preserve">energetické náročnosti splňujícího náležitosti dle zákona č. 406/2000 Sb., </w:t>
      </w:r>
      <w:r w:rsidR="00827D45" w:rsidRPr="002C3A04">
        <w:rPr>
          <w:rFonts w:ascii="Garamond" w:hAnsi="Garamond" w:cs="Arial"/>
        </w:rPr>
        <w:t>o hospodaření energií</w:t>
      </w:r>
      <w:r w:rsidR="00827D45">
        <w:rPr>
          <w:rFonts w:ascii="Garamond" w:hAnsi="Garamond" w:cs="Arial"/>
        </w:rPr>
        <w:t>, v platném znění, a dalších obecně závazných právních předpisů</w:t>
      </w:r>
      <w:r w:rsidR="009B02C9">
        <w:rPr>
          <w:rFonts w:ascii="Garamond" w:hAnsi="Garamond" w:cs="Arial"/>
        </w:rPr>
        <w:t>,</w:t>
      </w:r>
      <w:r w:rsidR="00827D45">
        <w:rPr>
          <w:rFonts w:ascii="Garamond" w:hAnsi="Garamond" w:cs="Arial"/>
        </w:rPr>
        <w:t xml:space="preserve"> vztahujícího se k příslušné budově dle přílohy č. 1 k této smlouvě</w:t>
      </w:r>
      <w:r w:rsidR="009B02C9">
        <w:rPr>
          <w:rFonts w:ascii="Garamond" w:hAnsi="Garamond" w:cs="Arial"/>
        </w:rPr>
        <w:t>,</w:t>
      </w:r>
      <w:r w:rsidR="00827D45">
        <w:rPr>
          <w:rFonts w:ascii="Garamond" w:hAnsi="Garamond" w:cs="Arial"/>
        </w:rPr>
        <w:t xml:space="preserve"> do rukou zhotovitele, a to v listinné i elektronické formě. </w:t>
      </w:r>
    </w:p>
    <w:p w14:paraId="35DDD15C" w14:textId="77777777" w:rsidR="007F5F8C" w:rsidRDefault="000B053F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t>4.</w:t>
      </w:r>
    </w:p>
    <w:p w14:paraId="0CE33016" w14:textId="793AFA1E" w:rsidR="00CD7F6C" w:rsidRDefault="00CD7F6C" w:rsidP="00CD7F6C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</w:rPr>
        <w:t>Místem plnění je sídlo objednatele uvedené v záhlaví této smlouvy.</w:t>
      </w:r>
    </w:p>
    <w:p w14:paraId="7779AD32" w14:textId="45F0092E" w:rsidR="00CD7F6C" w:rsidRDefault="00CD7F6C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5.</w:t>
      </w:r>
    </w:p>
    <w:p w14:paraId="54810FC9" w14:textId="77777777" w:rsidR="00E371B6" w:rsidRPr="004A79BE" w:rsidRDefault="00E371B6" w:rsidP="00E371B6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Cena díla</w:t>
      </w:r>
    </w:p>
    <w:p w14:paraId="59DF09C8" w14:textId="6F8FD555" w:rsidR="009E63C2" w:rsidRPr="009E63C2" w:rsidRDefault="009E63C2" w:rsidP="0056105D">
      <w:pPr>
        <w:spacing w:after="120"/>
        <w:jc w:val="both"/>
        <w:rPr>
          <w:rFonts w:ascii="Garamond" w:hAnsi="Garamond" w:cs="Arial"/>
          <w:color w:val="000000"/>
        </w:rPr>
      </w:pPr>
      <w:r w:rsidRPr="009E63C2">
        <w:rPr>
          <w:rFonts w:ascii="Garamond" w:hAnsi="Garamond" w:cs="Arial"/>
        </w:rPr>
        <w:t>(</w:t>
      </w:r>
      <w:r w:rsidRPr="0056105D">
        <w:rPr>
          <w:rFonts w:ascii="Garamond" w:hAnsi="Garamond" w:cs="Arial"/>
          <w:color w:val="000000"/>
        </w:rPr>
        <w:t xml:space="preserve">1) </w:t>
      </w:r>
      <w:r w:rsidR="0095300D" w:rsidRPr="0056105D">
        <w:rPr>
          <w:rFonts w:ascii="Garamond" w:hAnsi="Garamond" w:cs="Arial"/>
          <w:color w:val="000000"/>
        </w:rPr>
        <w:t xml:space="preserve">Objednatel se </w:t>
      </w:r>
      <w:r w:rsidR="0095300D" w:rsidRPr="009E63C2">
        <w:rPr>
          <w:rFonts w:ascii="Garamond" w:hAnsi="Garamond" w:cs="Arial"/>
          <w:color w:val="000000"/>
        </w:rPr>
        <w:t>zavazuje zaplatit zhotoviteli za dílo podle čl. 1</w:t>
      </w:r>
      <w:r w:rsidR="004B693D">
        <w:rPr>
          <w:rFonts w:ascii="Garamond" w:hAnsi="Garamond" w:cs="Arial"/>
          <w:color w:val="000000"/>
        </w:rPr>
        <w:t xml:space="preserve"> cenu </w:t>
      </w:r>
      <w:r w:rsidR="00F02479">
        <w:rPr>
          <w:rFonts w:ascii="Garamond" w:hAnsi="Garamond" w:cs="Arial"/>
          <w:color w:val="000000"/>
        </w:rPr>
        <w:t xml:space="preserve">díla </w:t>
      </w:r>
      <w:r w:rsidR="00827D45">
        <w:rPr>
          <w:rFonts w:ascii="Garamond" w:hAnsi="Garamond" w:cs="Arial"/>
          <w:color w:val="000000"/>
        </w:rPr>
        <w:t>uvedenou v příloze č. 1 k této smlouvě</w:t>
      </w:r>
      <w:r w:rsidR="0056105D" w:rsidRPr="0056105D">
        <w:rPr>
          <w:rFonts w:ascii="Garamond" w:hAnsi="Garamond" w:cs="Arial"/>
          <w:color w:val="000000"/>
        </w:rPr>
        <w:t>.</w:t>
      </w:r>
    </w:p>
    <w:p w14:paraId="0FA96B51" w14:textId="4C635B57" w:rsidR="0056105D" w:rsidRPr="00B36969" w:rsidRDefault="009E63C2" w:rsidP="0056105D">
      <w:pPr>
        <w:spacing w:after="120"/>
        <w:jc w:val="both"/>
        <w:rPr>
          <w:rFonts w:ascii="Garamond" w:eastAsia="Thoth-Unicode" w:hAnsi="Garamond" w:cs="Thoth-Unicode"/>
        </w:rPr>
      </w:pPr>
      <w:r w:rsidRPr="009E63C2">
        <w:rPr>
          <w:rFonts w:ascii="Garamond" w:hAnsi="Garamond" w:cs="Arial"/>
          <w:color w:val="000000"/>
        </w:rPr>
        <w:t xml:space="preserve">(2) </w:t>
      </w:r>
      <w:r w:rsidR="0056105D" w:rsidRPr="00597CB2">
        <w:rPr>
          <w:rFonts w:ascii="Garamond" w:eastAsia="Thoth-Unicode" w:hAnsi="Garamond" w:cs="Thoth-Unicode"/>
        </w:rPr>
        <w:t>Součást</w:t>
      </w:r>
      <w:r w:rsidR="0056105D">
        <w:rPr>
          <w:rFonts w:ascii="Garamond" w:eastAsia="Thoth-Unicode" w:hAnsi="Garamond" w:cs="Thoth-Unicode"/>
        </w:rPr>
        <w:t>í</w:t>
      </w:r>
      <w:r w:rsidR="0056105D" w:rsidRPr="00597CB2">
        <w:rPr>
          <w:rFonts w:ascii="Garamond" w:eastAsia="Thoth-Unicode" w:hAnsi="Garamond" w:cs="Thoth-Unicode"/>
        </w:rPr>
        <w:t xml:space="preserve"> </w:t>
      </w:r>
      <w:r w:rsidR="0056105D">
        <w:rPr>
          <w:rFonts w:ascii="Garamond" w:eastAsia="Thoth-Unicode" w:hAnsi="Garamond" w:cs="Thoth-Unicode"/>
        </w:rPr>
        <w:t>ceny díla dle odst. 1</w:t>
      </w:r>
      <w:r w:rsidR="0056105D" w:rsidRPr="00597CB2">
        <w:rPr>
          <w:rFonts w:ascii="Garamond" w:eastAsia="Thoth-Unicode" w:hAnsi="Garamond" w:cs="Thoth-Unicode"/>
        </w:rPr>
        <w:t xml:space="preserve"> jsou veškeré náklady </w:t>
      </w:r>
      <w:r w:rsidR="0056105D">
        <w:rPr>
          <w:rFonts w:ascii="Garamond" w:eastAsia="Thoth-Unicode" w:hAnsi="Garamond" w:cs="Thoth-Unicode"/>
        </w:rPr>
        <w:t>poskytovatele</w:t>
      </w:r>
      <w:r w:rsidR="0056105D" w:rsidRPr="00597CB2">
        <w:rPr>
          <w:rFonts w:ascii="Garamond" w:eastAsia="Thoth-Unicode" w:hAnsi="Garamond" w:cs="Thoth-Unicode"/>
        </w:rPr>
        <w:t xml:space="preserve"> na splněn</w:t>
      </w:r>
      <w:r w:rsidR="0056105D">
        <w:rPr>
          <w:rFonts w:ascii="Garamond" w:eastAsia="Thoth-Unicode" w:hAnsi="Garamond" w:cs="Thoth-Unicode"/>
        </w:rPr>
        <w:t>í</w:t>
      </w:r>
      <w:r w:rsidR="0056105D" w:rsidRPr="00597CB2">
        <w:rPr>
          <w:rFonts w:ascii="Garamond" w:eastAsia="Thoth-Unicode" w:hAnsi="Garamond" w:cs="Thoth-Unicode"/>
        </w:rPr>
        <w:t xml:space="preserve"> jeho závazku podle</w:t>
      </w:r>
      <w:r w:rsidR="0056105D">
        <w:rPr>
          <w:rFonts w:ascii="Garamond" w:eastAsia="Thoth-Unicode" w:hAnsi="Garamond" w:cs="Thoth-Unicode"/>
        </w:rPr>
        <w:t xml:space="preserve"> </w:t>
      </w:r>
      <w:r w:rsidR="0056105D" w:rsidRPr="00597CB2">
        <w:rPr>
          <w:rFonts w:ascii="Garamond" w:eastAsia="Thoth-Unicode" w:hAnsi="Garamond" w:cs="Thoth-Unicode"/>
        </w:rPr>
        <w:t>této smlouvy. Změna ceny je možná pouze v případě zákonné změny sazby DPH.</w:t>
      </w:r>
    </w:p>
    <w:p w14:paraId="135162EF" w14:textId="35FFF102" w:rsidR="0095300D" w:rsidRPr="009E63C2" w:rsidRDefault="00CD7F6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6</w:t>
      </w:r>
      <w:r w:rsidR="000B053F" w:rsidRPr="009E63C2">
        <w:rPr>
          <w:rFonts w:ascii="Garamond" w:hAnsi="Garamond" w:cs="Arial"/>
          <w:b/>
          <w:bCs/>
        </w:rPr>
        <w:t>.</w:t>
      </w:r>
    </w:p>
    <w:p w14:paraId="0365C125" w14:textId="418D99D7" w:rsidR="009E63C2" w:rsidRDefault="009E63C2" w:rsidP="009E63C2">
      <w:pPr>
        <w:spacing w:after="120"/>
        <w:jc w:val="both"/>
        <w:rPr>
          <w:rFonts w:ascii="Garamond" w:hAnsi="Garamond" w:cs="Arial"/>
        </w:rPr>
      </w:pPr>
      <w:bookmarkStart w:id="5" w:name="_Hlk175139870"/>
      <w:r w:rsidRPr="009E63C2">
        <w:rPr>
          <w:rFonts w:ascii="Garamond" w:hAnsi="Garamond" w:cs="Arial"/>
        </w:rPr>
        <w:t xml:space="preserve">(1) </w:t>
      </w:r>
      <w:r w:rsidR="005D5A2D" w:rsidRPr="009E63C2">
        <w:rPr>
          <w:rFonts w:ascii="Garamond" w:hAnsi="Garamond" w:cs="Arial"/>
        </w:rPr>
        <w:t xml:space="preserve">Cena díla podle </w:t>
      </w:r>
      <w:r w:rsidR="0056105D">
        <w:rPr>
          <w:rFonts w:ascii="Garamond" w:hAnsi="Garamond" w:cs="Arial"/>
        </w:rPr>
        <w:t xml:space="preserve">čl. </w:t>
      </w:r>
      <w:r w:rsidR="00CD7F6C">
        <w:rPr>
          <w:rFonts w:ascii="Garamond" w:hAnsi="Garamond" w:cs="Arial"/>
        </w:rPr>
        <w:t>5</w:t>
      </w:r>
      <w:r w:rsidR="005D5A2D" w:rsidRPr="009E63C2">
        <w:rPr>
          <w:rFonts w:ascii="Garamond" w:hAnsi="Garamond" w:cs="Arial"/>
        </w:rPr>
        <w:t xml:space="preserve"> této smlouvy je splatná po splnění závazku k provedení </w:t>
      </w:r>
      <w:r w:rsidR="005B3621">
        <w:rPr>
          <w:rFonts w:ascii="Garamond" w:hAnsi="Garamond" w:cs="Arial"/>
        </w:rPr>
        <w:t xml:space="preserve">příslušné části </w:t>
      </w:r>
      <w:r w:rsidR="005D5A2D" w:rsidRPr="009E63C2">
        <w:rPr>
          <w:rFonts w:ascii="Garamond" w:hAnsi="Garamond" w:cs="Arial"/>
        </w:rPr>
        <w:t xml:space="preserve">díla způsobem podle čl. </w:t>
      </w:r>
      <w:r w:rsidR="005B3621">
        <w:rPr>
          <w:rFonts w:ascii="Garamond" w:hAnsi="Garamond" w:cs="Arial"/>
        </w:rPr>
        <w:t>3</w:t>
      </w:r>
      <w:r w:rsidR="005D5A2D" w:rsidRPr="009E63C2">
        <w:rPr>
          <w:rFonts w:ascii="Garamond" w:hAnsi="Garamond" w:cs="Arial"/>
        </w:rPr>
        <w:t xml:space="preserve"> této smlouvy ve lhůtě do </w:t>
      </w:r>
      <w:r w:rsidRPr="009E63C2">
        <w:rPr>
          <w:rFonts w:ascii="Garamond" w:hAnsi="Garamond" w:cs="Arial"/>
        </w:rPr>
        <w:t>60</w:t>
      </w:r>
      <w:r w:rsidR="005D5A2D" w:rsidRPr="009E63C2">
        <w:rPr>
          <w:rFonts w:ascii="Garamond" w:hAnsi="Garamond" w:cs="Arial"/>
        </w:rPr>
        <w:t xml:space="preserve"> dnů od předložení jeho písemného </w:t>
      </w:r>
      <w:r w:rsidR="008639F4">
        <w:rPr>
          <w:rFonts w:ascii="Garamond" w:hAnsi="Garamond" w:cs="Arial"/>
        </w:rPr>
        <w:t>vyúčtování</w:t>
      </w:r>
      <w:r w:rsidR="005D5A2D" w:rsidRPr="009E63C2">
        <w:rPr>
          <w:rFonts w:ascii="Garamond" w:hAnsi="Garamond" w:cs="Arial"/>
        </w:rPr>
        <w:t xml:space="preserve"> (faktury)</w:t>
      </w:r>
      <w:r w:rsidR="008639F4">
        <w:rPr>
          <w:rFonts w:ascii="Garamond" w:hAnsi="Garamond" w:cs="Arial"/>
        </w:rPr>
        <w:t xml:space="preserve"> doručeného </w:t>
      </w:r>
      <w:r w:rsidR="008F7221">
        <w:rPr>
          <w:rFonts w:ascii="Garamond" w:hAnsi="Garamond" w:cs="Arial"/>
        </w:rPr>
        <w:t>objednateli</w:t>
      </w:r>
      <w:r w:rsidR="008639F4">
        <w:rPr>
          <w:rFonts w:ascii="Garamond" w:hAnsi="Garamond" w:cs="Arial"/>
        </w:rPr>
        <w:t xml:space="preserve"> elektronicky na adresu </w:t>
      </w:r>
      <w:hyperlink r:id="rId8" w:history="1">
        <w:r w:rsidR="00F02479" w:rsidRPr="009A5CF3">
          <w:rPr>
            <w:rStyle w:val="Hypertextovodkaz"/>
            <w:rFonts w:ascii="Garamond" w:hAnsi="Garamond" w:cs="Arial"/>
          </w:rPr>
          <w:t>dfaktury@nemzn.cz</w:t>
        </w:r>
      </w:hyperlink>
      <w:r w:rsidR="00F02479">
        <w:rPr>
          <w:rFonts w:ascii="Garamond" w:hAnsi="Garamond" w:cs="Arial"/>
        </w:rPr>
        <w:t xml:space="preserve"> </w:t>
      </w:r>
      <w:r w:rsidR="008F7221">
        <w:rPr>
          <w:rFonts w:ascii="Garamond" w:hAnsi="Garamond" w:cs="Arial"/>
        </w:rPr>
        <w:t xml:space="preserve">a </w:t>
      </w:r>
      <w:hyperlink r:id="rId9" w:history="1">
        <w:r w:rsidR="008F7221" w:rsidRPr="00CC32DB">
          <w:rPr>
            <w:rStyle w:val="Hypertextovodkaz"/>
            <w:rFonts w:ascii="Garamond" w:hAnsi="Garamond" w:cs="Arial"/>
          </w:rPr>
          <w:t>jirina.bilkova@nemzn.cz</w:t>
        </w:r>
      </w:hyperlink>
      <w:r w:rsidR="005D5A2D" w:rsidRPr="009E63C2">
        <w:rPr>
          <w:rFonts w:ascii="Garamond" w:hAnsi="Garamond" w:cs="Arial"/>
        </w:rPr>
        <w:t>.</w:t>
      </w:r>
    </w:p>
    <w:p w14:paraId="061D68F8" w14:textId="0BEEDE23" w:rsidR="0056105D" w:rsidRPr="009E63C2" w:rsidRDefault="0056105D" w:rsidP="009E63C2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(2) </w:t>
      </w:r>
      <w:r w:rsidRPr="0056105D">
        <w:rPr>
          <w:rFonts w:ascii="Garamond" w:hAnsi="Garamond" w:cs="Arial"/>
        </w:rPr>
        <w:t xml:space="preserve">Faktura vystavená </w:t>
      </w:r>
      <w:r>
        <w:rPr>
          <w:rFonts w:ascii="Garamond" w:hAnsi="Garamond" w:cs="Arial"/>
        </w:rPr>
        <w:t>zhotovitelem</w:t>
      </w:r>
      <w:r w:rsidRPr="0056105D">
        <w:rPr>
          <w:rFonts w:ascii="Garamond" w:hAnsi="Garamond" w:cs="Arial"/>
        </w:rPr>
        <w:t xml:space="preserve"> musí splňovat náležitosti daňového dokladu stanovené právními předpisy a dále číslo poptávkového řízení, k němuž se faktura vztahuje, jako specifický </w:t>
      </w:r>
      <w:r w:rsidRPr="004C632F">
        <w:rPr>
          <w:rFonts w:ascii="Garamond" w:hAnsi="Garamond" w:cs="Arial"/>
        </w:rPr>
        <w:t xml:space="preserve">symbol: </w:t>
      </w:r>
      <w:r w:rsidR="004C632F" w:rsidRPr="004C632F">
        <w:rPr>
          <w:rFonts w:ascii="Garamond" w:hAnsi="Garamond" w:cs="Arial"/>
          <w:b/>
          <w:bCs/>
        </w:rPr>
        <w:t>2500000951</w:t>
      </w:r>
      <w:r w:rsidRPr="004C632F">
        <w:rPr>
          <w:rFonts w:ascii="Garamond" w:hAnsi="Garamond" w:cs="Arial"/>
          <w:b/>
          <w:bCs/>
        </w:rPr>
        <w:t>.</w:t>
      </w:r>
    </w:p>
    <w:p w14:paraId="2B6BF501" w14:textId="64407A47" w:rsidR="000B053F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(3) Nebude-li mít faktura/daňový doklad všechny náležitosti daňového dokladu dle obecně závazných právních předpisů nebo této smlouvy, je oprávněn kupující tuto fakturu vrátit k opravě, přičemž doba splatnosti dle odst. 1 počíná běžet teprve dnem doručení opraveného daňového dokladu kupujícímu.</w:t>
      </w:r>
    </w:p>
    <w:bookmarkEnd w:id="5"/>
    <w:p w14:paraId="67A2DEBC" w14:textId="681FC869" w:rsidR="0095300D" w:rsidRDefault="00CD7F6C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lastRenderedPageBreak/>
        <w:t>7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014B155D" w14:textId="77777777" w:rsidR="00E371B6" w:rsidRDefault="00E371B6" w:rsidP="00E371B6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Smluvní pokuta</w:t>
      </w:r>
    </w:p>
    <w:p w14:paraId="3608C46B" w14:textId="3A316AB0" w:rsidR="0095300D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Pro případ prodlení s úhradou ceny díla ve lhůtě podle čl. </w:t>
      </w:r>
      <w:r w:rsidR="00CD7F6C">
        <w:rPr>
          <w:rFonts w:ascii="Garamond" w:hAnsi="Garamond" w:cs="Arial"/>
        </w:rPr>
        <w:t>6</w:t>
      </w:r>
      <w:r w:rsidRPr="009E63C2">
        <w:rPr>
          <w:rFonts w:ascii="Garamond" w:hAnsi="Garamond" w:cs="Arial"/>
        </w:rPr>
        <w:t xml:space="preserve"> této smlouvy se objednatel zavazuje zaplatit zhotoviteli úrok z prodlení ve výši dle zákona. </w:t>
      </w:r>
    </w:p>
    <w:p w14:paraId="5D1FBE08" w14:textId="4A7ADA60" w:rsidR="000B053F" w:rsidRPr="009E63C2" w:rsidRDefault="00CD7F6C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8</w:t>
      </w:r>
      <w:r w:rsidR="000B053F" w:rsidRPr="009E63C2">
        <w:rPr>
          <w:rFonts w:ascii="Garamond" w:hAnsi="Garamond" w:cs="Arial"/>
          <w:b/>
          <w:bCs/>
        </w:rPr>
        <w:t>.</w:t>
      </w:r>
    </w:p>
    <w:p w14:paraId="2B7163B9" w14:textId="125730AF" w:rsidR="005D5A2D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Pro případ prodlení zhotovitele s</w:t>
      </w:r>
      <w:r w:rsidR="00247350">
        <w:rPr>
          <w:rFonts w:ascii="Garamond" w:hAnsi="Garamond" w:cs="Arial"/>
        </w:rPr>
        <w:t> </w:t>
      </w:r>
      <w:r w:rsidRPr="009E63C2">
        <w:rPr>
          <w:rFonts w:ascii="Garamond" w:hAnsi="Garamond" w:cs="Arial"/>
        </w:rPr>
        <w:t>provedením</w:t>
      </w:r>
      <w:r w:rsidR="00247350">
        <w:rPr>
          <w:rFonts w:ascii="Garamond" w:hAnsi="Garamond" w:cs="Arial"/>
        </w:rPr>
        <w:t xml:space="preserve"> nebo předáním</w:t>
      </w:r>
      <w:r w:rsidRPr="009E63C2">
        <w:rPr>
          <w:rFonts w:ascii="Garamond" w:hAnsi="Garamond" w:cs="Arial"/>
        </w:rPr>
        <w:t xml:space="preserve"> díla ve </w:t>
      </w:r>
      <w:r w:rsidR="005B3621">
        <w:rPr>
          <w:rFonts w:ascii="Garamond" w:hAnsi="Garamond" w:cs="Arial"/>
        </w:rPr>
        <w:t>lhůtě</w:t>
      </w:r>
      <w:r w:rsidRPr="009E63C2">
        <w:rPr>
          <w:rFonts w:ascii="Garamond" w:hAnsi="Garamond" w:cs="Arial"/>
        </w:rPr>
        <w:t xml:space="preserve"> podle čl.</w:t>
      </w:r>
      <w:r w:rsidR="007A7704" w:rsidRPr="009E63C2">
        <w:rPr>
          <w:rFonts w:ascii="Garamond" w:hAnsi="Garamond" w:cs="Arial"/>
        </w:rPr>
        <w:t xml:space="preserve"> </w:t>
      </w:r>
      <w:r w:rsidR="005B3621">
        <w:rPr>
          <w:rFonts w:ascii="Garamond" w:hAnsi="Garamond" w:cs="Arial"/>
        </w:rPr>
        <w:t>2</w:t>
      </w:r>
      <w:r w:rsidR="000B053F" w:rsidRPr="009E63C2">
        <w:rPr>
          <w:rFonts w:ascii="Garamond" w:hAnsi="Garamond" w:cs="Arial"/>
        </w:rPr>
        <w:t xml:space="preserve"> </w:t>
      </w:r>
      <w:r w:rsidRPr="009E63C2">
        <w:rPr>
          <w:rFonts w:ascii="Garamond" w:hAnsi="Garamond" w:cs="Arial"/>
        </w:rPr>
        <w:t>této smlouvy se zhotovitel zavazuje zaplatit objednateli smluvní pokutu ve výši 0,</w:t>
      </w:r>
      <w:r w:rsidR="005B3621">
        <w:rPr>
          <w:rFonts w:ascii="Garamond" w:hAnsi="Garamond" w:cs="Arial"/>
        </w:rPr>
        <w:t>5</w:t>
      </w:r>
      <w:r w:rsidRPr="009E63C2">
        <w:rPr>
          <w:rFonts w:ascii="Garamond" w:hAnsi="Garamond" w:cs="Arial"/>
        </w:rPr>
        <w:t xml:space="preserve"> % z ceny díla za každý započatý den tohoto prodlení.</w:t>
      </w:r>
    </w:p>
    <w:p w14:paraId="3C78AE90" w14:textId="77777777" w:rsidR="00517E0C" w:rsidRDefault="00517E0C" w:rsidP="00517E0C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9</w:t>
      </w:r>
      <w:r w:rsidRPr="009E63C2">
        <w:rPr>
          <w:rFonts w:ascii="Garamond" w:hAnsi="Garamond" w:cs="Arial"/>
          <w:b/>
          <w:bCs/>
        </w:rPr>
        <w:t>.</w:t>
      </w:r>
    </w:p>
    <w:p w14:paraId="568D6881" w14:textId="09EF0697" w:rsidR="00E371B6" w:rsidRPr="009E63C2" w:rsidRDefault="00E371B6" w:rsidP="00517E0C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Odpovědnost za vady</w:t>
      </w:r>
    </w:p>
    <w:p w14:paraId="0585AA9E" w14:textId="557DC644" w:rsidR="00AC57B5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Zhotovitel odpovídá objednateli za to, že dílo podle čl. 1 této smlouvy bude odpovídat tuzemským právním předpisům, technickým</w:t>
      </w:r>
      <w:r w:rsidR="00CD7F6C">
        <w:rPr>
          <w:rFonts w:ascii="Garamond" w:hAnsi="Garamond" w:cs="Arial"/>
        </w:rPr>
        <w:t xml:space="preserve"> </w:t>
      </w:r>
      <w:r w:rsidRPr="009E63C2">
        <w:rPr>
          <w:rFonts w:ascii="Garamond" w:hAnsi="Garamond" w:cs="Arial"/>
        </w:rPr>
        <w:t>a jiným normám</w:t>
      </w:r>
      <w:r w:rsidR="00CD7F6C">
        <w:rPr>
          <w:rFonts w:ascii="Garamond" w:hAnsi="Garamond" w:cs="Arial"/>
        </w:rPr>
        <w:t xml:space="preserve"> a standardům</w:t>
      </w:r>
      <w:r w:rsidRPr="009E63C2">
        <w:rPr>
          <w:rFonts w:ascii="Garamond" w:hAnsi="Garamond" w:cs="Arial"/>
        </w:rPr>
        <w:t xml:space="preserve">, a to po celou dobu, po kterou to bude mít pro objednatele ekonomický </w:t>
      </w:r>
      <w:r w:rsidR="00CD7F6C">
        <w:rPr>
          <w:rFonts w:ascii="Garamond" w:hAnsi="Garamond" w:cs="Arial"/>
        </w:rPr>
        <w:t xml:space="preserve">právní </w:t>
      </w:r>
      <w:r w:rsidRPr="009E63C2">
        <w:rPr>
          <w:rFonts w:ascii="Garamond" w:hAnsi="Garamond" w:cs="Arial"/>
        </w:rPr>
        <w:t>či jiný význam.</w:t>
      </w:r>
      <w:r w:rsidR="003461EA" w:rsidRPr="009E63C2">
        <w:rPr>
          <w:rFonts w:ascii="Garamond" w:hAnsi="Garamond" w:cs="Arial"/>
        </w:rPr>
        <w:t xml:space="preserve"> V tomto smyslu se zhotovitel zavazuje bezplatně odstraňovat vady, které se na díle vyskytnou v uvedené záruční době.</w:t>
      </w:r>
    </w:p>
    <w:p w14:paraId="03A0414F" w14:textId="2478065B" w:rsidR="005D5A2D" w:rsidRPr="009E63C2" w:rsidRDefault="00DE1BFD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E371B6">
        <w:rPr>
          <w:rFonts w:ascii="Garamond" w:hAnsi="Garamond" w:cs="Arial"/>
          <w:b/>
          <w:bCs/>
        </w:rPr>
        <w:t>0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2F95412B" w14:textId="08340E80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Zhotovitel se zavazuje rozhodovat o písemných reklamacích objednatele písemně ve lhůtě do 10 dnů od jejich doručení, a ve stejné lhůtě provést odstranění vad z oprávněných reklamací, nebude-li mezi oběma stranami v jednotlivém případě dohodnuto jinak.</w:t>
      </w:r>
    </w:p>
    <w:p w14:paraId="0BF1E5EB" w14:textId="18D302E5" w:rsidR="005D5A2D" w:rsidRPr="009E63C2" w:rsidRDefault="00DE1BFD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E371B6">
        <w:rPr>
          <w:rFonts w:ascii="Garamond" w:hAnsi="Garamond" w:cs="Arial"/>
          <w:b/>
          <w:bCs/>
        </w:rPr>
        <w:t>1</w:t>
      </w:r>
      <w:r w:rsidR="000B053F" w:rsidRPr="009E63C2">
        <w:rPr>
          <w:rFonts w:ascii="Garamond" w:hAnsi="Garamond" w:cs="Arial"/>
          <w:b/>
          <w:bCs/>
        </w:rPr>
        <w:t>.</w:t>
      </w:r>
    </w:p>
    <w:p w14:paraId="40A24F03" w14:textId="3042A801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Pro případ sporu o oprávněnost reklamace se objednateli vyhrazuje právo nechat vyhotovit k prověření jakosti díla soudně znalecký posudek, jehož výroku se obě strany zavazují podřizovat s tím, že náklady na vyhotovení tohoto posudku se zavazuje nést ten účastník sporu, kterému tento posudek nedal za</w:t>
      </w:r>
      <w:r w:rsidR="00AC57B5" w:rsidRPr="009E63C2">
        <w:rPr>
          <w:rFonts w:ascii="Garamond" w:hAnsi="Garamond" w:cs="Arial"/>
        </w:rPr>
        <w:t xml:space="preserve"> </w:t>
      </w:r>
      <w:r w:rsidRPr="009E63C2">
        <w:rPr>
          <w:rFonts w:ascii="Garamond" w:hAnsi="Garamond" w:cs="Arial"/>
        </w:rPr>
        <w:t>pravdu.</w:t>
      </w:r>
    </w:p>
    <w:p w14:paraId="5CF6A8FC" w14:textId="6F6D5969" w:rsidR="00E371B6" w:rsidRDefault="00E371B6" w:rsidP="00E371B6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12</w:t>
      </w:r>
      <w:r w:rsidRPr="009E63C2">
        <w:rPr>
          <w:rFonts w:ascii="Garamond" w:hAnsi="Garamond" w:cs="Arial"/>
          <w:b/>
          <w:bCs/>
        </w:rPr>
        <w:t>.</w:t>
      </w:r>
    </w:p>
    <w:p w14:paraId="7CF9ABE3" w14:textId="11441F40" w:rsidR="00E371B6" w:rsidRPr="009E63C2" w:rsidRDefault="00E371B6" w:rsidP="00E371B6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Závěrečná a společná ustanovení</w:t>
      </w:r>
    </w:p>
    <w:p w14:paraId="7C85A654" w14:textId="77777777" w:rsidR="00E371B6" w:rsidRPr="00F36633" w:rsidRDefault="00E371B6" w:rsidP="00E371B6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(1) Zhotovitel</w:t>
      </w:r>
      <w:r w:rsidRPr="00F36633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je povinen </w:t>
      </w:r>
      <w:r w:rsidRPr="00F36633">
        <w:rPr>
          <w:rFonts w:ascii="Garamond" w:hAnsi="Garamond" w:cs="Arial"/>
        </w:rPr>
        <w:t>oznámit objednateli všechny okolnosti, které zjistil v průběhu plnění této smlouvy a které mohou mít vliv na plnění předmětu této smlouvy</w:t>
      </w:r>
      <w:r>
        <w:rPr>
          <w:rFonts w:ascii="Garamond" w:hAnsi="Garamond" w:cs="Arial"/>
        </w:rPr>
        <w:t>, a to bezprostředně poté, co se o takových skutečnostech dozví</w:t>
      </w:r>
      <w:r w:rsidRPr="00F36633">
        <w:rPr>
          <w:rFonts w:ascii="Garamond" w:hAnsi="Garamond" w:cs="Arial"/>
        </w:rPr>
        <w:t>.</w:t>
      </w:r>
    </w:p>
    <w:p w14:paraId="2E4ADF8D" w14:textId="77777777" w:rsidR="00E371B6" w:rsidRPr="00F36633" w:rsidRDefault="00E371B6" w:rsidP="00E371B6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(2) </w:t>
      </w:r>
      <w:r w:rsidRPr="00F36633">
        <w:rPr>
          <w:rFonts w:ascii="Garamond" w:hAnsi="Garamond" w:cs="Arial"/>
        </w:rPr>
        <w:t xml:space="preserve">Objednatel se zavazuje poskytnout </w:t>
      </w:r>
      <w:r>
        <w:rPr>
          <w:rFonts w:ascii="Garamond" w:hAnsi="Garamond" w:cs="Arial"/>
        </w:rPr>
        <w:t>zhotoviteli</w:t>
      </w:r>
      <w:r w:rsidRPr="00F36633">
        <w:rPr>
          <w:rFonts w:ascii="Garamond" w:hAnsi="Garamond" w:cs="Arial"/>
        </w:rPr>
        <w:t xml:space="preserve"> potřebné podklady a nezbytnou součinnost k plnění předmětu této smlouvy a umožnit za účelem provádění </w:t>
      </w:r>
      <w:r>
        <w:rPr>
          <w:rFonts w:ascii="Garamond" w:hAnsi="Garamond" w:cs="Arial"/>
        </w:rPr>
        <w:t>díla</w:t>
      </w:r>
      <w:r w:rsidRPr="00F36633">
        <w:rPr>
          <w:rFonts w:ascii="Garamond" w:hAnsi="Garamond" w:cs="Arial"/>
        </w:rPr>
        <w:t xml:space="preserve"> přístup pracovníkům </w:t>
      </w:r>
      <w:r>
        <w:rPr>
          <w:rFonts w:ascii="Garamond" w:hAnsi="Garamond" w:cs="Arial"/>
        </w:rPr>
        <w:t xml:space="preserve">zhotovitele </w:t>
      </w:r>
      <w:r w:rsidRPr="00F36633">
        <w:rPr>
          <w:rFonts w:ascii="Garamond" w:hAnsi="Garamond" w:cs="Arial"/>
        </w:rPr>
        <w:t xml:space="preserve">do </w:t>
      </w:r>
      <w:r>
        <w:rPr>
          <w:rFonts w:ascii="Garamond" w:hAnsi="Garamond" w:cs="Arial"/>
        </w:rPr>
        <w:t>příslušných budov</w:t>
      </w:r>
      <w:r w:rsidRPr="00F36633">
        <w:rPr>
          <w:rFonts w:ascii="Garamond" w:hAnsi="Garamond" w:cs="Arial"/>
        </w:rPr>
        <w:t xml:space="preserve">. </w:t>
      </w:r>
    </w:p>
    <w:p w14:paraId="6C03E161" w14:textId="54E5ED64" w:rsidR="000B053F" w:rsidRPr="009E63C2" w:rsidRDefault="00DE1BFD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E371B6">
        <w:rPr>
          <w:rFonts w:ascii="Garamond" w:hAnsi="Garamond" w:cs="Arial"/>
          <w:b/>
          <w:bCs/>
        </w:rPr>
        <w:t>3</w:t>
      </w:r>
      <w:r w:rsidR="000B053F" w:rsidRPr="009E63C2">
        <w:rPr>
          <w:rFonts w:ascii="Garamond" w:hAnsi="Garamond" w:cs="Arial"/>
          <w:b/>
          <w:bCs/>
        </w:rPr>
        <w:t>.</w:t>
      </w:r>
    </w:p>
    <w:p w14:paraId="666D38EE" w14:textId="139E722B" w:rsidR="000B053F" w:rsidRPr="009E63C2" w:rsidRDefault="005D5A2D" w:rsidP="009E63C2">
      <w:pPr>
        <w:pStyle w:val="Odstavecseseznamem"/>
        <w:spacing w:after="120"/>
        <w:ind w:left="0"/>
        <w:contextualSpacing w:val="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Objednatel je oprávněn odstoupit od této smlouvy o dílo, bude-li zhotovitel v prodlení se splněním svého závazku podle čl. 1 této smlouvy ve lhůt</w:t>
      </w:r>
      <w:r w:rsidR="00247350">
        <w:rPr>
          <w:rFonts w:ascii="Garamond" w:hAnsi="Garamond" w:cs="Arial"/>
        </w:rPr>
        <w:t>ách</w:t>
      </w:r>
      <w:r w:rsidRPr="009E63C2">
        <w:rPr>
          <w:rFonts w:ascii="Garamond" w:hAnsi="Garamond" w:cs="Arial"/>
        </w:rPr>
        <w:t xml:space="preserve"> podle čl. </w:t>
      </w:r>
      <w:r w:rsidR="005B3621">
        <w:rPr>
          <w:rFonts w:ascii="Garamond" w:hAnsi="Garamond" w:cs="Arial"/>
        </w:rPr>
        <w:t>2</w:t>
      </w:r>
      <w:r w:rsidR="000B053F" w:rsidRPr="009E63C2">
        <w:rPr>
          <w:rFonts w:ascii="Garamond" w:hAnsi="Garamond" w:cs="Arial"/>
        </w:rPr>
        <w:t xml:space="preserve"> této smlouvy o víc</w:t>
      </w:r>
      <w:r w:rsidRPr="009E63C2">
        <w:rPr>
          <w:rFonts w:ascii="Garamond" w:hAnsi="Garamond" w:cs="Arial"/>
        </w:rPr>
        <w:t xml:space="preserve"> než jeden měsíc. </w:t>
      </w:r>
    </w:p>
    <w:p w14:paraId="072DFB40" w14:textId="5C5FB6B4" w:rsidR="005D5A2D" w:rsidRPr="009E63C2" w:rsidRDefault="00DE1BFD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F36633">
        <w:rPr>
          <w:rFonts w:ascii="Garamond" w:hAnsi="Garamond" w:cs="Arial"/>
          <w:b/>
          <w:bCs/>
        </w:rPr>
        <w:t>4</w:t>
      </w:r>
      <w:r w:rsidR="000B053F" w:rsidRPr="009E63C2">
        <w:rPr>
          <w:rFonts w:ascii="Garamond" w:hAnsi="Garamond" w:cs="Arial"/>
          <w:b/>
          <w:bCs/>
        </w:rPr>
        <w:t>.</w:t>
      </w:r>
    </w:p>
    <w:p w14:paraId="4FC314D9" w14:textId="63627A25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Není-li touto smlouvou ujednáno jinak, řídí se vzájemný právní vztah mezi zhotovitelem a objednatelem § 2586 až 2622 občanského zákoníku. </w:t>
      </w:r>
      <w:r w:rsidR="009E63C2" w:rsidRPr="009E63C2">
        <w:rPr>
          <w:rFonts w:ascii="Garamond" w:hAnsi="Garamond" w:cs="Arial"/>
        </w:rPr>
        <w:t>Smluvní strany v souladu s § 558 odst. 2 občanského zákoníku výslovně vylučují použití obchodních zvyklostí ve svém právním styku v souvislosti s touto smlouvou.</w:t>
      </w:r>
    </w:p>
    <w:p w14:paraId="0A0397F6" w14:textId="5FFB0CB8" w:rsidR="005D5A2D" w:rsidRPr="009E63C2" w:rsidRDefault="00DE1BFD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F36633">
        <w:rPr>
          <w:rFonts w:ascii="Garamond" w:hAnsi="Garamond" w:cs="Arial"/>
          <w:b/>
          <w:bCs/>
        </w:rPr>
        <w:t>5</w:t>
      </w:r>
      <w:r w:rsidR="0095300D" w:rsidRPr="009E63C2">
        <w:rPr>
          <w:rFonts w:ascii="Garamond" w:hAnsi="Garamond" w:cs="Arial"/>
          <w:b/>
          <w:bCs/>
        </w:rPr>
        <w:t>.</w:t>
      </w:r>
    </w:p>
    <w:p w14:paraId="2B78FBF7" w14:textId="0521F412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Tuto smlo</w:t>
      </w:r>
      <w:r w:rsidR="009E2EC2" w:rsidRPr="009E63C2">
        <w:rPr>
          <w:rFonts w:ascii="Garamond" w:hAnsi="Garamond" w:cs="Arial"/>
        </w:rPr>
        <w:t>uvu lze změnit nebo zrušit</w:t>
      </w:r>
      <w:r w:rsidRPr="009E63C2">
        <w:rPr>
          <w:rFonts w:ascii="Garamond" w:hAnsi="Garamond" w:cs="Arial"/>
        </w:rPr>
        <w:t xml:space="preserve"> jinou písemnou dohod</w:t>
      </w:r>
      <w:r w:rsidR="009E2EC2" w:rsidRPr="009E63C2">
        <w:rPr>
          <w:rFonts w:ascii="Garamond" w:hAnsi="Garamond" w:cs="Arial"/>
        </w:rPr>
        <w:t>o</w:t>
      </w:r>
      <w:r w:rsidRPr="009E63C2">
        <w:rPr>
          <w:rFonts w:ascii="Garamond" w:hAnsi="Garamond" w:cs="Arial"/>
        </w:rPr>
        <w:t xml:space="preserve">u obou smluvních stran. </w:t>
      </w:r>
    </w:p>
    <w:p w14:paraId="5B67035B" w14:textId="6C7C56E6" w:rsidR="005D5A2D" w:rsidRPr="009E63C2" w:rsidRDefault="00DE1BFD" w:rsidP="009E63C2">
      <w:pPr>
        <w:pStyle w:val="Odstavecseseznamem"/>
        <w:spacing w:before="240" w:after="120"/>
        <w:ind w:left="0"/>
        <w:contextualSpacing w:val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lastRenderedPageBreak/>
        <w:t>1</w:t>
      </w:r>
      <w:r w:rsidR="00F36633">
        <w:rPr>
          <w:rFonts w:ascii="Garamond" w:hAnsi="Garamond" w:cs="Arial"/>
          <w:b/>
          <w:bCs/>
        </w:rPr>
        <w:t>6</w:t>
      </w:r>
      <w:r w:rsidR="005D5A2D" w:rsidRPr="009E63C2">
        <w:rPr>
          <w:rFonts w:ascii="Garamond" w:hAnsi="Garamond" w:cs="Arial"/>
          <w:b/>
          <w:bCs/>
        </w:rPr>
        <w:t>.</w:t>
      </w:r>
    </w:p>
    <w:p w14:paraId="19F895A0" w14:textId="44243A00" w:rsidR="000B053F" w:rsidRPr="009E63C2" w:rsidRDefault="005D5A2D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Tato smlouva se uzavírá na základě návrhu na její uzavření ze strany objednatele. Předpokladem uzavření </w:t>
      </w:r>
      <w:r w:rsidRPr="00DE1BFD">
        <w:rPr>
          <w:rFonts w:ascii="Garamond" w:hAnsi="Garamond" w:cs="Arial"/>
        </w:rPr>
        <w:t>této smlouvy je její písemná forma a dohoda o celém jejím obsahu</w:t>
      </w:r>
      <w:r w:rsidR="009E63C2" w:rsidRPr="00DE1BFD">
        <w:rPr>
          <w:rFonts w:ascii="Garamond" w:hAnsi="Garamond" w:cs="Arial"/>
        </w:rPr>
        <w:t>,</w:t>
      </w:r>
      <w:r w:rsidRPr="00DE1BFD">
        <w:rPr>
          <w:rFonts w:ascii="Garamond" w:hAnsi="Garamond" w:cs="Arial"/>
        </w:rPr>
        <w:t xml:space="preserve"> jak je obsažen v jejích článcích 1 až </w:t>
      </w:r>
      <w:r w:rsidR="00A812DB">
        <w:rPr>
          <w:rFonts w:ascii="Garamond" w:hAnsi="Garamond" w:cs="Arial"/>
        </w:rPr>
        <w:t>20</w:t>
      </w:r>
      <w:r w:rsidRPr="00DE1BFD">
        <w:rPr>
          <w:rFonts w:ascii="Garamond" w:hAnsi="Garamond" w:cs="Arial"/>
        </w:rPr>
        <w:t>. Objednatel přitom předem vylučuje přijetí tohoto návrhu s dodatkem nebo odchylkou ve smyslu</w:t>
      </w:r>
      <w:r w:rsidRPr="009E63C2">
        <w:rPr>
          <w:rFonts w:ascii="Garamond" w:hAnsi="Garamond" w:cs="Arial"/>
        </w:rPr>
        <w:t xml:space="preserve"> § 1740 odst. 3 občanského zákoníku. </w:t>
      </w:r>
    </w:p>
    <w:p w14:paraId="7E1EFDF1" w14:textId="24803EB0" w:rsidR="000B053F" w:rsidRPr="009E63C2" w:rsidRDefault="00DE1BFD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F36633">
        <w:rPr>
          <w:rFonts w:ascii="Garamond" w:hAnsi="Garamond" w:cs="Arial"/>
          <w:b/>
          <w:bCs/>
        </w:rPr>
        <w:t>7</w:t>
      </w:r>
      <w:r w:rsidR="000B053F" w:rsidRPr="009E63C2">
        <w:rPr>
          <w:rFonts w:ascii="Garamond" w:hAnsi="Garamond" w:cs="Arial"/>
          <w:b/>
          <w:bCs/>
        </w:rPr>
        <w:t>.</w:t>
      </w:r>
    </w:p>
    <w:p w14:paraId="3EDA96A2" w14:textId="77777777" w:rsidR="009E63C2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Tato smlouva bude uveřejněna prostřednictvím registru smluv postupem dle zákona č. 340/2015 Sb., o zvláštních podmínkách účinnosti některých smluv, uveřejňováni těchto smluv a o registru smluv (zákon o registru smluv), v platném znění. Smluvní strany se dohodly, že uveřejněni v registru smluv (ISRS) včetně uvedení metadat provede objednatel.</w:t>
      </w:r>
    </w:p>
    <w:p w14:paraId="62D19998" w14:textId="623D53A3" w:rsidR="009E63C2" w:rsidRPr="009E63C2" w:rsidRDefault="00DE1BFD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F36633">
        <w:rPr>
          <w:rFonts w:ascii="Garamond" w:hAnsi="Garamond" w:cs="Arial"/>
          <w:b/>
          <w:bCs/>
        </w:rPr>
        <w:t>8</w:t>
      </w:r>
      <w:r w:rsidR="009E63C2" w:rsidRPr="009E63C2">
        <w:rPr>
          <w:rFonts w:ascii="Garamond" w:hAnsi="Garamond" w:cs="Arial"/>
          <w:b/>
          <w:bCs/>
        </w:rPr>
        <w:t>.</w:t>
      </w:r>
    </w:p>
    <w:p w14:paraId="1DFE46C5" w14:textId="77777777" w:rsidR="009E63C2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Zhotovitel uděluje objednateli svůj výslovný souhlas se zveřejněním podmínek této smlouvy v rozsahu a za podmínek vyplývajících z příslušných právních předpisů (zejména zákona č. 106/1999 Sb., o svobodném přístupu k informacím, v platném znění).</w:t>
      </w:r>
    </w:p>
    <w:p w14:paraId="3EEDB248" w14:textId="5887BE9D" w:rsidR="009E63C2" w:rsidRPr="009E63C2" w:rsidRDefault="00CD7F6C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</w:t>
      </w:r>
      <w:r w:rsidR="00F36633">
        <w:rPr>
          <w:rFonts w:ascii="Garamond" w:hAnsi="Garamond" w:cs="Arial"/>
          <w:b/>
          <w:bCs/>
        </w:rPr>
        <w:t>9</w:t>
      </w:r>
      <w:r w:rsidR="009E63C2" w:rsidRPr="009E63C2">
        <w:rPr>
          <w:rFonts w:ascii="Garamond" w:hAnsi="Garamond" w:cs="Arial"/>
          <w:b/>
          <w:bCs/>
        </w:rPr>
        <w:t>.</w:t>
      </w:r>
    </w:p>
    <w:p w14:paraId="3FDD4F45" w14:textId="57C10986" w:rsidR="009E63C2" w:rsidRPr="009E63C2" w:rsidRDefault="009E63C2" w:rsidP="009E63C2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Tato smlouva nabývá platnosti dnem jejího uzavření a účinnosti d</w:t>
      </w:r>
      <w:r w:rsidR="00F36633">
        <w:rPr>
          <w:rFonts w:ascii="Garamond" w:hAnsi="Garamond" w:cs="Arial"/>
        </w:rPr>
        <w:t>n</w:t>
      </w:r>
      <w:r w:rsidRPr="009E63C2">
        <w:rPr>
          <w:rFonts w:ascii="Garamond" w:hAnsi="Garamond" w:cs="Arial"/>
        </w:rPr>
        <w:t xml:space="preserve">em jejího zveřejnění postupem </w:t>
      </w:r>
      <w:r w:rsidRPr="001C0761">
        <w:rPr>
          <w:rFonts w:ascii="Garamond" w:hAnsi="Garamond" w:cs="Arial"/>
        </w:rPr>
        <w:t xml:space="preserve">dle čl. </w:t>
      </w:r>
      <w:r w:rsidR="00F36633" w:rsidRPr="001C0761">
        <w:rPr>
          <w:rFonts w:ascii="Garamond" w:hAnsi="Garamond" w:cs="Arial"/>
        </w:rPr>
        <w:t>17</w:t>
      </w:r>
      <w:r w:rsidRPr="009E63C2">
        <w:rPr>
          <w:rFonts w:ascii="Garamond" w:hAnsi="Garamond" w:cs="Arial"/>
        </w:rPr>
        <w:t xml:space="preserve"> </w:t>
      </w:r>
      <w:r w:rsidRPr="000913E1">
        <w:rPr>
          <w:rFonts w:ascii="Garamond" w:hAnsi="Garamond" w:cs="Arial"/>
        </w:rPr>
        <w:t>této smlouvy</w:t>
      </w:r>
      <w:r w:rsidR="00F07C35" w:rsidRPr="000913E1">
        <w:rPr>
          <w:rFonts w:ascii="Garamond" w:hAnsi="Garamond" w:cs="Arial"/>
        </w:rPr>
        <w:t xml:space="preserve"> a uzavírá se na dobu určitou do 31. prosince 202</w:t>
      </w:r>
      <w:r w:rsidR="000913E1" w:rsidRPr="000913E1">
        <w:rPr>
          <w:rFonts w:ascii="Garamond" w:hAnsi="Garamond" w:cs="Arial"/>
        </w:rPr>
        <w:t>6</w:t>
      </w:r>
      <w:r w:rsidR="00F36633" w:rsidRPr="000913E1">
        <w:rPr>
          <w:rFonts w:ascii="Garamond" w:hAnsi="Garamond" w:cs="Arial"/>
        </w:rPr>
        <w:t>.</w:t>
      </w:r>
    </w:p>
    <w:p w14:paraId="2836DF1D" w14:textId="448828C4" w:rsidR="009E63C2" w:rsidRPr="009E63C2" w:rsidRDefault="00A812DB" w:rsidP="009E63C2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20</w:t>
      </w:r>
      <w:r w:rsidR="009E63C2" w:rsidRPr="009E63C2">
        <w:rPr>
          <w:rFonts w:ascii="Garamond" w:hAnsi="Garamond" w:cs="Arial"/>
          <w:b/>
          <w:bCs/>
        </w:rPr>
        <w:t>.</w:t>
      </w:r>
    </w:p>
    <w:p w14:paraId="65D855BB" w14:textId="0489DEAC" w:rsidR="009E63C2" w:rsidRDefault="009E63C2" w:rsidP="009E63C2">
      <w:pPr>
        <w:spacing w:after="120"/>
        <w:jc w:val="both"/>
        <w:rPr>
          <w:rFonts w:ascii="Garamond" w:hAnsi="Garamond"/>
        </w:rPr>
      </w:pPr>
      <w:r w:rsidRPr="009E63C2">
        <w:rPr>
          <w:rFonts w:ascii="Garamond" w:hAnsi="Garamond" w:cs="Arial"/>
        </w:rPr>
        <w:t>Dáno ve dvou originálních písemných vyhotoveních, z nichž každá ze smluvních stran obdrží po jednom.</w:t>
      </w:r>
      <w:r w:rsidR="00F36633">
        <w:rPr>
          <w:rFonts w:ascii="Garamond" w:hAnsi="Garamond" w:cs="Arial"/>
        </w:rPr>
        <w:t xml:space="preserve"> Tuto smlouvu lze uzavřít rovněž elektronicky.</w:t>
      </w:r>
    </w:p>
    <w:p w14:paraId="26BE4F4E" w14:textId="77777777" w:rsidR="009E63C2" w:rsidRDefault="009E63C2" w:rsidP="009E63C2">
      <w:pPr>
        <w:spacing w:after="120"/>
        <w:jc w:val="both"/>
        <w:rPr>
          <w:rFonts w:ascii="Garamond" w:hAnsi="Garamond"/>
        </w:rPr>
      </w:pPr>
    </w:p>
    <w:p w14:paraId="5867CA8E" w14:textId="5B74C71F" w:rsidR="005D5A2D" w:rsidRDefault="005D5A2D" w:rsidP="009E63C2">
      <w:pPr>
        <w:tabs>
          <w:tab w:val="left" w:pos="993"/>
        </w:tabs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Příloha </w:t>
      </w:r>
      <w:r w:rsidR="00CD7F6C">
        <w:rPr>
          <w:rFonts w:ascii="Garamond" w:hAnsi="Garamond" w:cs="Arial"/>
        </w:rPr>
        <w:tab/>
      </w:r>
      <w:r w:rsidR="005B3621">
        <w:rPr>
          <w:rFonts w:ascii="Garamond" w:hAnsi="Garamond" w:cs="Arial"/>
        </w:rPr>
        <w:t>Vymezení budov a ceník</w:t>
      </w:r>
    </w:p>
    <w:p w14:paraId="0BC10C85" w14:textId="77777777" w:rsidR="009E63C2" w:rsidRDefault="009E63C2" w:rsidP="009E63C2">
      <w:pPr>
        <w:tabs>
          <w:tab w:val="left" w:pos="993"/>
        </w:tabs>
        <w:spacing w:after="120"/>
        <w:jc w:val="both"/>
        <w:rPr>
          <w:rFonts w:ascii="Garamond" w:hAnsi="Garamond" w:cs="Arial"/>
        </w:rPr>
      </w:pPr>
    </w:p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9E63C2" w:rsidRPr="00DA2D25" w14:paraId="7AE91761" w14:textId="77777777" w:rsidTr="009025E8">
        <w:trPr>
          <w:trHeight w:val="923"/>
        </w:trPr>
        <w:tc>
          <w:tcPr>
            <w:tcW w:w="4673" w:type="dxa"/>
          </w:tcPr>
          <w:p w14:paraId="7B53222A" w14:textId="10BB941E" w:rsidR="009E63C2" w:rsidRPr="00DA2D25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b/>
              </w:rPr>
              <w:t xml:space="preserve">Za </w:t>
            </w:r>
            <w:r>
              <w:rPr>
                <w:rFonts w:ascii="Garamond" w:hAnsi="Garamond"/>
                <w:b/>
              </w:rPr>
              <w:t>o</w:t>
            </w:r>
            <w:r w:rsidRPr="00DA2D25">
              <w:rPr>
                <w:rFonts w:ascii="Garamond" w:hAnsi="Garamond"/>
                <w:b/>
              </w:rPr>
              <w:t>bjednatele:</w:t>
            </w:r>
          </w:p>
        </w:tc>
        <w:tc>
          <w:tcPr>
            <w:tcW w:w="4820" w:type="dxa"/>
          </w:tcPr>
          <w:p w14:paraId="3F528D7C" w14:textId="6FD5170D" w:rsidR="009E63C2" w:rsidRPr="00DA2D25" w:rsidRDefault="009E63C2" w:rsidP="009025E8">
            <w:pPr>
              <w:rPr>
                <w:rFonts w:ascii="Garamond" w:hAnsi="Garamond"/>
                <w:b/>
              </w:rPr>
            </w:pPr>
            <w:r w:rsidRPr="00DA2D25">
              <w:rPr>
                <w:rFonts w:ascii="Garamond" w:hAnsi="Garamond"/>
                <w:b/>
              </w:rPr>
              <w:t xml:space="preserve">Za </w:t>
            </w:r>
            <w:r>
              <w:rPr>
                <w:rFonts w:ascii="Garamond" w:hAnsi="Garamond"/>
                <w:b/>
              </w:rPr>
              <w:t>zhotovitele</w:t>
            </w:r>
            <w:r w:rsidRPr="00DA2D25">
              <w:rPr>
                <w:rFonts w:ascii="Garamond" w:hAnsi="Garamond"/>
                <w:b/>
              </w:rPr>
              <w:t>:</w:t>
            </w:r>
          </w:p>
          <w:p w14:paraId="5D0A9AFF" w14:textId="77777777" w:rsidR="009E63C2" w:rsidRPr="00DA2D25" w:rsidRDefault="009E63C2" w:rsidP="009025E8">
            <w:pPr>
              <w:rPr>
                <w:rFonts w:ascii="Garamond" w:hAnsi="Garamond"/>
              </w:rPr>
            </w:pPr>
          </w:p>
        </w:tc>
      </w:tr>
      <w:tr w:rsidR="009E63C2" w:rsidRPr="00DA2D25" w14:paraId="2165E06D" w14:textId="77777777" w:rsidTr="009025E8">
        <w:trPr>
          <w:trHeight w:val="2553"/>
        </w:trPr>
        <w:tc>
          <w:tcPr>
            <w:tcW w:w="4673" w:type="dxa"/>
          </w:tcPr>
          <w:p w14:paraId="5B32CFE9" w14:textId="77777777" w:rsidR="009E63C2" w:rsidRPr="00DA2D25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>Ve Znojmě</w:t>
            </w:r>
          </w:p>
        </w:tc>
        <w:tc>
          <w:tcPr>
            <w:tcW w:w="4820" w:type="dxa"/>
          </w:tcPr>
          <w:p w14:paraId="475EF83C" w14:textId="68352528" w:rsidR="009E63C2" w:rsidRPr="00DA2D25" w:rsidRDefault="009E63C2" w:rsidP="00D76F02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 xml:space="preserve">V </w:t>
            </w:r>
            <w:r w:rsidRPr="0003365B">
              <w:rPr>
                <w:rFonts w:ascii="Garamond" w:hAnsi="Garamond"/>
                <w:highlight w:val="yellow"/>
              </w:rPr>
              <w:t>…………</w:t>
            </w:r>
            <w:r w:rsidR="00D76F02">
              <w:rPr>
                <w:rFonts w:ascii="Garamond" w:hAnsi="Garamond"/>
                <w:highlight w:val="yellow"/>
              </w:rPr>
              <w:t>dne…</w:t>
            </w:r>
            <w:r w:rsidRPr="0003365B">
              <w:rPr>
                <w:rFonts w:ascii="Garamond" w:hAnsi="Garamond"/>
                <w:highlight w:val="yellow"/>
              </w:rPr>
              <w:t>…… (</w:t>
            </w:r>
            <w:r w:rsidRPr="0003365B">
              <w:rPr>
                <w:rFonts w:ascii="Garamond" w:hAnsi="Garamond"/>
                <w:i/>
                <w:highlight w:val="yellow"/>
              </w:rPr>
              <w:t>vyplní zhotovitel)</w:t>
            </w:r>
          </w:p>
        </w:tc>
      </w:tr>
      <w:tr w:rsidR="009E63C2" w:rsidRPr="00DA2D25" w14:paraId="2A37A8A0" w14:textId="77777777" w:rsidTr="009025E8">
        <w:trPr>
          <w:trHeight w:val="404"/>
        </w:trPr>
        <w:tc>
          <w:tcPr>
            <w:tcW w:w="4673" w:type="dxa"/>
            <w:vAlign w:val="bottom"/>
          </w:tcPr>
          <w:p w14:paraId="5C5F8C23" w14:textId="0368D107" w:rsidR="009E63C2" w:rsidRPr="00DA2D25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>MUDr. Miroslav Kavka, MBA</w:t>
            </w:r>
            <w:r w:rsidR="005B3621">
              <w:rPr>
                <w:rFonts w:ascii="Garamond" w:hAnsi="Garamond"/>
              </w:rPr>
              <w:t>, FICS</w:t>
            </w:r>
          </w:p>
        </w:tc>
        <w:tc>
          <w:tcPr>
            <w:tcW w:w="4820" w:type="dxa"/>
            <w:vAlign w:val="bottom"/>
          </w:tcPr>
          <w:p w14:paraId="5890130C" w14:textId="77777777" w:rsidR="009E63C2" w:rsidRPr="00DA2D25" w:rsidRDefault="009E63C2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……………………………………………..</w:t>
            </w:r>
          </w:p>
        </w:tc>
      </w:tr>
      <w:tr w:rsidR="009E63C2" w:rsidRPr="00DA2D25" w14:paraId="0BB67FD0" w14:textId="77777777" w:rsidTr="009025E8">
        <w:trPr>
          <w:trHeight w:val="269"/>
        </w:trPr>
        <w:tc>
          <w:tcPr>
            <w:tcW w:w="4673" w:type="dxa"/>
          </w:tcPr>
          <w:p w14:paraId="6A516D80" w14:textId="77777777" w:rsidR="004B5901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 xml:space="preserve">ředitel Nemocnice Znojmo, </w:t>
            </w:r>
          </w:p>
          <w:p w14:paraId="344CBFDE" w14:textId="31531A99" w:rsidR="009E63C2" w:rsidRPr="00DA2D25" w:rsidRDefault="009E63C2" w:rsidP="009025E8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</w:rPr>
              <w:t>p</w:t>
            </w:r>
            <w:r w:rsidR="004B5901">
              <w:rPr>
                <w:rFonts w:ascii="Garamond" w:hAnsi="Garamond"/>
              </w:rPr>
              <w:t>říspěvkové</w:t>
            </w:r>
            <w:r w:rsidRPr="00DA2D25">
              <w:rPr>
                <w:rFonts w:ascii="Garamond" w:hAnsi="Garamond"/>
              </w:rPr>
              <w:t xml:space="preserve"> o</w:t>
            </w:r>
            <w:r w:rsidR="004B5901">
              <w:rPr>
                <w:rFonts w:ascii="Garamond" w:hAnsi="Garamond"/>
              </w:rPr>
              <w:t>rganizace</w:t>
            </w:r>
          </w:p>
        </w:tc>
        <w:tc>
          <w:tcPr>
            <w:tcW w:w="4820" w:type="dxa"/>
          </w:tcPr>
          <w:p w14:paraId="7FF5244D" w14:textId="77777777" w:rsidR="009E63C2" w:rsidRDefault="009E63C2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……………………………………………..</w:t>
            </w:r>
          </w:p>
          <w:p w14:paraId="7F6974E5" w14:textId="7A7E8EE3" w:rsidR="004B5901" w:rsidRPr="00DA2D25" w:rsidRDefault="004B5901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highlight w:val="yellow"/>
              </w:rPr>
              <w:t xml:space="preserve">vyplní </w:t>
            </w:r>
            <w:r>
              <w:rPr>
                <w:rFonts w:ascii="Garamond" w:hAnsi="Garamond"/>
                <w:i/>
                <w:highlight w:val="yellow"/>
              </w:rPr>
              <w:t>zhotovitel</w:t>
            </w:r>
            <w:r w:rsidRPr="00DA2D25">
              <w:rPr>
                <w:rFonts w:ascii="Garamond" w:hAnsi="Garamond"/>
                <w:i/>
                <w:highlight w:val="yellow"/>
              </w:rPr>
              <w:t>)</w:t>
            </w:r>
          </w:p>
        </w:tc>
      </w:tr>
      <w:tr w:rsidR="009E63C2" w:rsidRPr="00DA2D25" w14:paraId="10991998" w14:textId="77777777" w:rsidTr="009025E8">
        <w:trPr>
          <w:trHeight w:val="244"/>
        </w:trPr>
        <w:tc>
          <w:tcPr>
            <w:tcW w:w="4673" w:type="dxa"/>
          </w:tcPr>
          <w:p w14:paraId="73520389" w14:textId="77777777" w:rsidR="009E63C2" w:rsidRPr="00DA2D25" w:rsidRDefault="009E63C2" w:rsidP="009025E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4820" w:type="dxa"/>
          </w:tcPr>
          <w:p w14:paraId="41AFCEB0" w14:textId="4E8C74FF" w:rsidR="009E63C2" w:rsidRPr="00DA2D25" w:rsidRDefault="009E63C2" w:rsidP="009025E8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</w:p>
        </w:tc>
      </w:tr>
    </w:tbl>
    <w:p w14:paraId="75290ACB" w14:textId="3ECE3F49" w:rsidR="009E63C2" w:rsidRDefault="009E63C2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</w:p>
    <w:p w14:paraId="159D3B37" w14:textId="6DCC55B5" w:rsidR="009E63C2" w:rsidRDefault="009E63C2" w:rsidP="009E63C2">
      <w:pPr>
        <w:tabs>
          <w:tab w:val="left" w:pos="993"/>
        </w:tabs>
        <w:spacing w:after="120"/>
        <w:jc w:val="right"/>
        <w:rPr>
          <w:rFonts w:ascii="Garamond" w:hAnsi="Garamond" w:cs="Arial"/>
          <w:b/>
          <w:bCs/>
        </w:rPr>
      </w:pPr>
      <w:r w:rsidRPr="009E63C2">
        <w:rPr>
          <w:rFonts w:ascii="Garamond" w:hAnsi="Garamond" w:cs="Arial"/>
          <w:b/>
          <w:bCs/>
        </w:rPr>
        <w:lastRenderedPageBreak/>
        <w:t>Příloha</w:t>
      </w:r>
      <w:r w:rsidR="00E371B6">
        <w:rPr>
          <w:rFonts w:ascii="Garamond" w:hAnsi="Garamond" w:cs="Arial"/>
          <w:b/>
          <w:bCs/>
        </w:rPr>
        <w:t xml:space="preserve"> č. 1</w:t>
      </w:r>
      <w:r w:rsidRPr="009E63C2">
        <w:rPr>
          <w:rFonts w:ascii="Garamond" w:hAnsi="Garamond" w:cs="Arial"/>
          <w:b/>
          <w:bCs/>
        </w:rPr>
        <w:t xml:space="preserve"> </w:t>
      </w:r>
      <w:r w:rsidR="00CD7F6C">
        <w:rPr>
          <w:rFonts w:ascii="Garamond" w:hAnsi="Garamond" w:cs="Arial"/>
          <w:b/>
          <w:bCs/>
        </w:rPr>
        <w:tab/>
      </w:r>
      <w:r w:rsidR="00E371B6" w:rsidRPr="00E371B6">
        <w:rPr>
          <w:rFonts w:ascii="Garamond" w:hAnsi="Garamond" w:cs="Arial"/>
          <w:b/>
          <w:bCs/>
        </w:rPr>
        <w:t>Vymezení budov a ceník</w:t>
      </w:r>
    </w:p>
    <w:p w14:paraId="387EC12C" w14:textId="77777777" w:rsidR="00DF7B3B" w:rsidRDefault="00DF7B3B" w:rsidP="009E63C2">
      <w:pPr>
        <w:tabs>
          <w:tab w:val="left" w:pos="993"/>
        </w:tabs>
        <w:spacing w:after="120"/>
        <w:jc w:val="right"/>
        <w:rPr>
          <w:rFonts w:ascii="Garamond" w:hAnsi="Garamond" w:cs="Arial"/>
          <w:b/>
          <w:bCs/>
        </w:rPr>
      </w:pPr>
    </w:p>
    <w:tbl>
      <w:tblPr>
        <w:tblW w:w="9901" w:type="dxa"/>
        <w:tblInd w:w="-4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2"/>
        <w:gridCol w:w="3542"/>
        <w:gridCol w:w="1499"/>
        <w:gridCol w:w="2001"/>
        <w:gridCol w:w="1697"/>
      </w:tblGrid>
      <w:tr w:rsidR="000913E1" w14:paraId="3C7F22AF" w14:textId="77777777" w:rsidTr="000913E1">
        <w:trPr>
          <w:trHeight w:val="495"/>
        </w:trPr>
        <w:tc>
          <w:tcPr>
            <w:tcW w:w="99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38D41D91" w14:textId="77777777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Areál Nemocnice Znojmo (MUDr. Jana Janského 11, 66902 Znojmo) – k.ú. Znojmo-město</w:t>
            </w:r>
          </w:p>
        </w:tc>
      </w:tr>
      <w:tr w:rsidR="000913E1" w14:paraId="16B4616A" w14:textId="77777777" w:rsidTr="000913E1">
        <w:trPr>
          <w:trHeight w:val="525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46279B3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0E3B7F9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Budova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B158D52" w14:textId="77777777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Parcelní číslo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4DB4FAB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C8C2000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bez DPH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 xml:space="preserve">za PENB </w:t>
            </w:r>
          </w:p>
        </w:tc>
      </w:tr>
      <w:tr w:rsidR="000913E1" w14:paraId="6AB7EBE3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09E8F1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ZN044008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3A1954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Budova - I, J (Dílny, Garaže)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EA72B3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4408/162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3F05EF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Znojmo-město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3718D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482E97BB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501D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ZN044009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2A8C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K (ZDS)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17AC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4408/43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0105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Znojmo-město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4E700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613A1442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7FCBA2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ZN044010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B3D281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L (Sklad SZM)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9F71BC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4408/41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DB0F16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Znojmo-město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EBE5F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6789DC5A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0856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ZN044017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9558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- 2 (Šatny, Sociální zařízení)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4375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4408/45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CE53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Znojmo-město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2126E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51E6EC29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D75318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ZN044021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9B96DD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- 7 (Mediplyny)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F75948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4408/52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28CD17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Znojmo-město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AC19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212931A7" w14:textId="77777777" w:rsidTr="000913E1">
        <w:trPr>
          <w:trHeight w:val="405"/>
        </w:trPr>
        <w:tc>
          <w:tcPr>
            <w:tcW w:w="99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22FEB9C3" w14:textId="313D5948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Areál Staré Nemocnice (D</w:t>
            </w:r>
            <w:r w:rsidR="00D85F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jská 1, 66902 Znojmo) – k.ú. Znojmo-město</w:t>
            </w:r>
          </w:p>
        </w:tc>
      </w:tr>
      <w:tr w:rsidR="000913E1" w14:paraId="7EA9BAD3" w14:textId="77777777" w:rsidTr="000913E1">
        <w:trPr>
          <w:trHeight w:val="525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46295E8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1DAEA4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Budova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C17663" w14:textId="77777777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Parcelní číslo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EE77F44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0A4299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bez DPH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 xml:space="preserve">za PENB </w:t>
            </w:r>
          </w:p>
        </w:tc>
      </w:tr>
      <w:tr w:rsidR="000913E1" w14:paraId="42CA4CF0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2949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ZN066001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C072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ODN 1-4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909B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772D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Znojmo-město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8F6A1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58ABDC6F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73D8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ZN066002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0B72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ODN 5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F66D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05731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Znojmo-město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B0FE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7BF40940" w14:textId="77777777" w:rsidTr="000913E1">
        <w:trPr>
          <w:trHeight w:val="300"/>
        </w:trPr>
        <w:tc>
          <w:tcPr>
            <w:tcW w:w="99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54347832" w14:textId="77777777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Rekreační chata Nemocnice Znojmo  (Bítov bez ev. č.)  – k.ú. Bítov</w:t>
            </w:r>
          </w:p>
        </w:tc>
      </w:tr>
      <w:tr w:rsidR="000913E1" w14:paraId="04D64FE1" w14:textId="77777777" w:rsidTr="000913E1">
        <w:trPr>
          <w:trHeight w:val="525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C13DC73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0FD1FE4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Budova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BD27D4" w14:textId="77777777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Parcelní číslo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AD93C2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0A511A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bez DPH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 xml:space="preserve">za PENB </w:t>
            </w:r>
          </w:p>
        </w:tc>
      </w:tr>
      <w:tr w:rsidR="000913E1" w14:paraId="46F2BA8E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20EA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ZN082001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70FF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Rekreační chata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C520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125/23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11FA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Bítov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663E3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0913E1" w14:paraId="34F8F226" w14:textId="77777777" w:rsidTr="000913E1">
        <w:trPr>
          <w:trHeight w:val="585"/>
        </w:trPr>
        <w:tc>
          <w:tcPr>
            <w:tcW w:w="99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68EBB12D" w14:textId="520BF8AF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Rekreační chata Nemocnice Znojmo (Št</w:t>
            </w:r>
            <w:r w:rsidR="00C071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tary ev. č. 362) – k.ú. Štítary na Moravě</w:t>
            </w:r>
          </w:p>
        </w:tc>
      </w:tr>
      <w:tr w:rsidR="000913E1" w14:paraId="114E44A8" w14:textId="77777777" w:rsidTr="000913E1">
        <w:trPr>
          <w:trHeight w:val="525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D6E7DBC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2DA7EA6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Budova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39689E" w14:textId="77777777" w:rsidR="000913E1" w:rsidRDefault="000913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Parcelní číslo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C6F45B9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3D29942" w14:textId="77777777" w:rsidR="000913E1" w:rsidRDefault="000913E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bez DPH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 xml:space="preserve">za PENB </w:t>
            </w:r>
          </w:p>
        </w:tc>
      </w:tr>
      <w:tr w:rsidR="000913E1" w14:paraId="7279EDC4" w14:textId="77777777" w:rsidTr="000913E1">
        <w:trPr>
          <w:trHeight w:val="510"/>
        </w:trPr>
        <w:tc>
          <w:tcPr>
            <w:tcW w:w="11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60B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ZN087001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B2A3" w14:textId="77777777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Budova - Rekreační chata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EB5C" w14:textId="77777777" w:rsidR="000913E1" w:rsidRDefault="000913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1897" w14:textId="3687CB3B" w:rsidR="000913E1" w:rsidRDefault="000913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Št</w:t>
            </w:r>
            <w:r w:rsidR="00D85FE6">
              <w:rPr>
                <w:rFonts w:ascii="Calibri" w:hAnsi="Calibri" w:cs="Calibri"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tary na Moravě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12F8C" w14:textId="77777777" w:rsidR="000913E1" w:rsidRDefault="000913E1">
            <w:pPr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</w:tbl>
    <w:p w14:paraId="57EE33DB" w14:textId="77777777" w:rsidR="000913E1" w:rsidRDefault="000913E1" w:rsidP="009E63C2">
      <w:pPr>
        <w:tabs>
          <w:tab w:val="left" w:pos="993"/>
        </w:tabs>
        <w:spacing w:after="120"/>
        <w:jc w:val="right"/>
        <w:rPr>
          <w:rFonts w:ascii="Garamond" w:hAnsi="Garamond" w:cs="Arial"/>
          <w:b/>
          <w:bCs/>
        </w:rPr>
      </w:pPr>
    </w:p>
    <w:sectPr w:rsidR="000913E1" w:rsidSect="00247350">
      <w:footerReference w:type="default" r:id="rId10"/>
      <w:pgSz w:w="11906" w:h="16838"/>
      <w:pgMar w:top="993" w:right="1417" w:bottom="851" w:left="1417" w:header="708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249A7" w14:textId="77777777" w:rsidR="007A701F" w:rsidRDefault="007A701F" w:rsidP="00FF1991">
      <w:r>
        <w:separator/>
      </w:r>
    </w:p>
  </w:endnote>
  <w:endnote w:type="continuationSeparator" w:id="0">
    <w:p w14:paraId="793CF7B0" w14:textId="77777777" w:rsidR="007A701F" w:rsidRDefault="007A701F" w:rsidP="00FF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E005F" w14:textId="6EB28CB3" w:rsidR="00247350" w:rsidRPr="00E371B6" w:rsidRDefault="00247350">
    <w:pPr>
      <w:pStyle w:val="Zpat"/>
      <w:rPr>
        <w:i/>
        <w:iCs/>
        <w:sz w:val="20"/>
        <w:szCs w:val="20"/>
      </w:rPr>
    </w:pPr>
    <w:r w:rsidRPr="00E371B6">
      <w:rPr>
        <w:i/>
        <w:iCs/>
        <w:sz w:val="20"/>
        <w:szCs w:val="20"/>
      </w:rPr>
      <w:t xml:space="preserve">VZMR </w:t>
    </w:r>
    <w:r w:rsidR="00E371B6" w:rsidRPr="00E371B6">
      <w:rPr>
        <w:i/>
        <w:iCs/>
        <w:sz w:val="20"/>
        <w:szCs w:val="20"/>
      </w:rPr>
      <w:t>8</w:t>
    </w:r>
    <w:r w:rsidRPr="00E371B6">
      <w:rPr>
        <w:i/>
        <w:iCs/>
        <w:sz w:val="20"/>
        <w:szCs w:val="20"/>
      </w:rPr>
      <w:t xml:space="preserve">/25 </w:t>
    </w:r>
    <w:r w:rsidR="00E371B6" w:rsidRPr="00E371B6">
      <w:rPr>
        <w:i/>
        <w:iCs/>
        <w:sz w:val="20"/>
        <w:szCs w:val="20"/>
      </w:rPr>
      <w:t>Zhotovení průkazů energetické náročnosti budov (PENB)</w:t>
    </w:r>
    <w:r w:rsidR="00E371B6" w:rsidRPr="00E371B6">
      <w:rPr>
        <w:rFonts w:hint="eastAsia"/>
        <w:i/>
        <w:iCs/>
        <w:sz w:val="20"/>
        <w:szCs w:val="20"/>
      </w:rPr>
      <w:t xml:space="preserve"> na objektech Nemocnice Znojmo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63F27" w14:textId="77777777" w:rsidR="007A701F" w:rsidRDefault="007A701F" w:rsidP="00FF1991">
      <w:r>
        <w:separator/>
      </w:r>
    </w:p>
  </w:footnote>
  <w:footnote w:type="continuationSeparator" w:id="0">
    <w:p w14:paraId="10ACDAD2" w14:textId="77777777" w:rsidR="007A701F" w:rsidRDefault="007A701F" w:rsidP="00FF1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274E3"/>
    <w:multiLevelType w:val="hybridMultilevel"/>
    <w:tmpl w:val="EC9244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55F12"/>
    <w:multiLevelType w:val="hybridMultilevel"/>
    <w:tmpl w:val="4F5C10F6"/>
    <w:lvl w:ilvl="0" w:tplc="5FE43E96">
      <w:start w:val="1"/>
      <w:numFmt w:val="bullet"/>
      <w:lvlText w:val="-"/>
      <w:lvlJc w:val="left"/>
      <w:pPr>
        <w:ind w:left="18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2" w15:restartNumberingAfterBreak="0">
    <w:nsid w:val="0C084B3B"/>
    <w:multiLevelType w:val="singleLevel"/>
    <w:tmpl w:val="5122F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</w:abstractNum>
  <w:abstractNum w:abstractNumId="3" w15:restartNumberingAfterBreak="0">
    <w:nsid w:val="2E6647DB"/>
    <w:multiLevelType w:val="hybridMultilevel"/>
    <w:tmpl w:val="FF5C2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43622B"/>
    <w:multiLevelType w:val="hybridMultilevel"/>
    <w:tmpl w:val="FF5C2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917B2"/>
    <w:multiLevelType w:val="hybridMultilevel"/>
    <w:tmpl w:val="64E082F0"/>
    <w:lvl w:ilvl="0" w:tplc="E8907EBC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050017">
      <w:start w:val="1"/>
      <w:numFmt w:val="lowerLetter"/>
      <w:lvlText w:val="%2)"/>
      <w:lvlJc w:val="left"/>
      <w:pPr>
        <w:ind w:left="19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F960CE"/>
    <w:multiLevelType w:val="hybridMultilevel"/>
    <w:tmpl w:val="B3FA1E72"/>
    <w:lvl w:ilvl="0" w:tplc="58D4425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b w:val="0"/>
      </w:rPr>
    </w:lvl>
    <w:lvl w:ilvl="1" w:tplc="29D085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37705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0560762">
    <w:abstractNumId w:val="2"/>
  </w:num>
  <w:num w:numId="3" w16cid:durableId="4752685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7843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9175254">
    <w:abstractNumId w:val="3"/>
  </w:num>
  <w:num w:numId="6" w16cid:durableId="150102087">
    <w:abstractNumId w:val="4"/>
  </w:num>
  <w:num w:numId="7" w16cid:durableId="125394056">
    <w:abstractNumId w:val="0"/>
  </w:num>
  <w:num w:numId="8" w16cid:durableId="374161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7C"/>
    <w:rsid w:val="00001DBC"/>
    <w:rsid w:val="00003D56"/>
    <w:rsid w:val="000321BD"/>
    <w:rsid w:val="0003365B"/>
    <w:rsid w:val="000644AD"/>
    <w:rsid w:val="00064E43"/>
    <w:rsid w:val="00066148"/>
    <w:rsid w:val="000855F1"/>
    <w:rsid w:val="000874CC"/>
    <w:rsid w:val="000913E1"/>
    <w:rsid w:val="000A002F"/>
    <w:rsid w:val="000A2963"/>
    <w:rsid w:val="000B053F"/>
    <w:rsid w:val="000B4231"/>
    <w:rsid w:val="000B42CB"/>
    <w:rsid w:val="000E0FA0"/>
    <w:rsid w:val="0011704C"/>
    <w:rsid w:val="001378CD"/>
    <w:rsid w:val="0016122E"/>
    <w:rsid w:val="0019520C"/>
    <w:rsid w:val="001C0761"/>
    <w:rsid w:val="001F7E5B"/>
    <w:rsid w:val="002042CE"/>
    <w:rsid w:val="00213062"/>
    <w:rsid w:val="00247350"/>
    <w:rsid w:val="00250697"/>
    <w:rsid w:val="00262777"/>
    <w:rsid w:val="00267208"/>
    <w:rsid w:val="002960A6"/>
    <w:rsid w:val="002B5FC4"/>
    <w:rsid w:val="002C3A04"/>
    <w:rsid w:val="002C7D37"/>
    <w:rsid w:val="002E693D"/>
    <w:rsid w:val="0030186A"/>
    <w:rsid w:val="00331FB7"/>
    <w:rsid w:val="003426F9"/>
    <w:rsid w:val="003461EA"/>
    <w:rsid w:val="00392AAB"/>
    <w:rsid w:val="003C6CBA"/>
    <w:rsid w:val="003D3DDB"/>
    <w:rsid w:val="004215F9"/>
    <w:rsid w:val="00437524"/>
    <w:rsid w:val="004445EA"/>
    <w:rsid w:val="0046516F"/>
    <w:rsid w:val="00465CF5"/>
    <w:rsid w:val="004B5901"/>
    <w:rsid w:val="004B693D"/>
    <w:rsid w:val="004C632F"/>
    <w:rsid w:val="004C650F"/>
    <w:rsid w:val="004E5CA3"/>
    <w:rsid w:val="004E5FB1"/>
    <w:rsid w:val="004F66FB"/>
    <w:rsid w:val="00503673"/>
    <w:rsid w:val="005122B7"/>
    <w:rsid w:val="00517E0C"/>
    <w:rsid w:val="00544CE4"/>
    <w:rsid w:val="0056105D"/>
    <w:rsid w:val="00565430"/>
    <w:rsid w:val="005665C2"/>
    <w:rsid w:val="005738A0"/>
    <w:rsid w:val="005773B9"/>
    <w:rsid w:val="005A21A6"/>
    <w:rsid w:val="005A2751"/>
    <w:rsid w:val="005B3621"/>
    <w:rsid w:val="005C266A"/>
    <w:rsid w:val="005C56C7"/>
    <w:rsid w:val="005D0963"/>
    <w:rsid w:val="005D5A2D"/>
    <w:rsid w:val="005E10DD"/>
    <w:rsid w:val="005F5978"/>
    <w:rsid w:val="00611F03"/>
    <w:rsid w:val="006634BE"/>
    <w:rsid w:val="006709AF"/>
    <w:rsid w:val="00687A09"/>
    <w:rsid w:val="006A7F6C"/>
    <w:rsid w:val="006D17D8"/>
    <w:rsid w:val="00702F29"/>
    <w:rsid w:val="00721487"/>
    <w:rsid w:val="00753BE7"/>
    <w:rsid w:val="00777A2A"/>
    <w:rsid w:val="00790C0D"/>
    <w:rsid w:val="007A06FC"/>
    <w:rsid w:val="007A57A9"/>
    <w:rsid w:val="007A701F"/>
    <w:rsid w:val="007A7704"/>
    <w:rsid w:val="007D4155"/>
    <w:rsid w:val="007D7192"/>
    <w:rsid w:val="007E5A96"/>
    <w:rsid w:val="007F2258"/>
    <w:rsid w:val="007F5F8C"/>
    <w:rsid w:val="007F7864"/>
    <w:rsid w:val="00827D45"/>
    <w:rsid w:val="00833756"/>
    <w:rsid w:val="0084652F"/>
    <w:rsid w:val="008639F4"/>
    <w:rsid w:val="00866BDD"/>
    <w:rsid w:val="0088551A"/>
    <w:rsid w:val="00890F44"/>
    <w:rsid w:val="008D1B33"/>
    <w:rsid w:val="008E49FC"/>
    <w:rsid w:val="008E7E59"/>
    <w:rsid w:val="008F7221"/>
    <w:rsid w:val="00900809"/>
    <w:rsid w:val="00920EED"/>
    <w:rsid w:val="00931A1E"/>
    <w:rsid w:val="00950B54"/>
    <w:rsid w:val="0095300D"/>
    <w:rsid w:val="0097152B"/>
    <w:rsid w:val="009852CB"/>
    <w:rsid w:val="00985D7B"/>
    <w:rsid w:val="009951FB"/>
    <w:rsid w:val="009A064E"/>
    <w:rsid w:val="009B02C9"/>
    <w:rsid w:val="009C72D1"/>
    <w:rsid w:val="009D1290"/>
    <w:rsid w:val="009E2EC2"/>
    <w:rsid w:val="009E48DE"/>
    <w:rsid w:val="009E63C2"/>
    <w:rsid w:val="009F26A3"/>
    <w:rsid w:val="00A3382C"/>
    <w:rsid w:val="00A40E8D"/>
    <w:rsid w:val="00A45126"/>
    <w:rsid w:val="00A502B4"/>
    <w:rsid w:val="00A536BA"/>
    <w:rsid w:val="00A61E8B"/>
    <w:rsid w:val="00A620D5"/>
    <w:rsid w:val="00A722FC"/>
    <w:rsid w:val="00A812DB"/>
    <w:rsid w:val="00AB0CBC"/>
    <w:rsid w:val="00AC57B5"/>
    <w:rsid w:val="00AE022B"/>
    <w:rsid w:val="00B10AED"/>
    <w:rsid w:val="00B36961"/>
    <w:rsid w:val="00B42F5A"/>
    <w:rsid w:val="00B433CB"/>
    <w:rsid w:val="00B437F9"/>
    <w:rsid w:val="00B44792"/>
    <w:rsid w:val="00B6372A"/>
    <w:rsid w:val="00B6534B"/>
    <w:rsid w:val="00B8289E"/>
    <w:rsid w:val="00B87587"/>
    <w:rsid w:val="00BA3D0C"/>
    <w:rsid w:val="00BC21C1"/>
    <w:rsid w:val="00BC3160"/>
    <w:rsid w:val="00BC7061"/>
    <w:rsid w:val="00BD1C94"/>
    <w:rsid w:val="00BD6274"/>
    <w:rsid w:val="00BE134F"/>
    <w:rsid w:val="00C01CD5"/>
    <w:rsid w:val="00C071A3"/>
    <w:rsid w:val="00C245FC"/>
    <w:rsid w:val="00C34D8B"/>
    <w:rsid w:val="00C41A7C"/>
    <w:rsid w:val="00C44E51"/>
    <w:rsid w:val="00C84D27"/>
    <w:rsid w:val="00C9458F"/>
    <w:rsid w:val="00CD7F6C"/>
    <w:rsid w:val="00CE5A82"/>
    <w:rsid w:val="00D3416F"/>
    <w:rsid w:val="00D51634"/>
    <w:rsid w:val="00D600A5"/>
    <w:rsid w:val="00D76F02"/>
    <w:rsid w:val="00D80F5C"/>
    <w:rsid w:val="00D84767"/>
    <w:rsid w:val="00D85FE6"/>
    <w:rsid w:val="00D97D94"/>
    <w:rsid w:val="00DA0CD4"/>
    <w:rsid w:val="00DC5956"/>
    <w:rsid w:val="00DE1BFD"/>
    <w:rsid w:val="00DE3258"/>
    <w:rsid w:val="00DE3318"/>
    <w:rsid w:val="00DE499E"/>
    <w:rsid w:val="00DF4C81"/>
    <w:rsid w:val="00DF7B3B"/>
    <w:rsid w:val="00E033A0"/>
    <w:rsid w:val="00E371B6"/>
    <w:rsid w:val="00E436AA"/>
    <w:rsid w:val="00E969CF"/>
    <w:rsid w:val="00EF53A5"/>
    <w:rsid w:val="00F02479"/>
    <w:rsid w:val="00F07C35"/>
    <w:rsid w:val="00F1366F"/>
    <w:rsid w:val="00F2531B"/>
    <w:rsid w:val="00F36633"/>
    <w:rsid w:val="00F42964"/>
    <w:rsid w:val="00F6133A"/>
    <w:rsid w:val="00F616A3"/>
    <w:rsid w:val="00F92CCA"/>
    <w:rsid w:val="00F93BE4"/>
    <w:rsid w:val="00FC5C05"/>
    <w:rsid w:val="00FC6288"/>
    <w:rsid w:val="00FC697C"/>
    <w:rsid w:val="00FF1991"/>
    <w:rsid w:val="00FF2CBB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3825C1"/>
  <w15:chartTrackingRefBased/>
  <w15:docId w15:val="{330BCF7A-C6DA-43D7-9F93-C06EE7E0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DE3318"/>
    <w:rPr>
      <w:rFonts w:ascii="Courier New" w:hAnsi="Courier New"/>
      <w:sz w:val="20"/>
      <w:szCs w:val="20"/>
    </w:rPr>
  </w:style>
  <w:style w:type="paragraph" w:styleId="Bezmezer">
    <w:name w:val="No Spacing"/>
    <w:uiPriority w:val="1"/>
    <w:qFormat/>
    <w:rsid w:val="00AB0CBC"/>
    <w:rPr>
      <w:rFonts w:ascii="Arial" w:eastAsia="Calibri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0321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321BD"/>
    <w:rPr>
      <w:rFonts w:ascii="Tahoma" w:hAnsi="Tahoma" w:cs="Tahoma"/>
      <w:sz w:val="16"/>
      <w:szCs w:val="16"/>
    </w:rPr>
  </w:style>
  <w:style w:type="character" w:styleId="Hypertextovodkaz">
    <w:name w:val="Hyperlink"/>
    <w:rsid w:val="009F26A3"/>
    <w:rPr>
      <w:color w:val="0000FF"/>
      <w:u w:val="single"/>
    </w:rPr>
  </w:style>
  <w:style w:type="paragraph" w:styleId="Odstavecseseznamem">
    <w:name w:val="List Paragraph"/>
    <w:basedOn w:val="Normln"/>
    <w:qFormat/>
    <w:rsid w:val="00B433CB"/>
    <w:pPr>
      <w:ind w:left="720"/>
      <w:contextualSpacing/>
    </w:pPr>
  </w:style>
  <w:style w:type="paragraph" w:styleId="Zhlav">
    <w:name w:val="header"/>
    <w:basedOn w:val="Normln"/>
    <w:link w:val="ZhlavChar"/>
    <w:rsid w:val="00FF199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1991"/>
    <w:rPr>
      <w:sz w:val="24"/>
      <w:szCs w:val="24"/>
    </w:rPr>
  </w:style>
  <w:style w:type="paragraph" w:styleId="Zpat">
    <w:name w:val="footer"/>
    <w:basedOn w:val="Normln"/>
    <w:link w:val="ZpatChar"/>
    <w:rsid w:val="00FF199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1991"/>
    <w:rPr>
      <w:sz w:val="24"/>
      <w:szCs w:val="24"/>
    </w:rPr>
  </w:style>
  <w:style w:type="table" w:customStyle="1" w:styleId="TableGrid">
    <w:name w:val="TableGrid"/>
    <w:rsid w:val="009E63C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E63C2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B693D"/>
    <w:rPr>
      <w:sz w:val="24"/>
      <w:szCs w:val="24"/>
    </w:rPr>
  </w:style>
  <w:style w:type="character" w:styleId="Odkaznakoment">
    <w:name w:val="annotation reference"/>
    <w:basedOn w:val="Standardnpsmoodstavce"/>
    <w:rsid w:val="00D34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D341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3416F"/>
  </w:style>
  <w:style w:type="paragraph" w:styleId="Pedmtkomente">
    <w:name w:val="annotation subject"/>
    <w:basedOn w:val="Textkomente"/>
    <w:next w:val="Textkomente"/>
    <w:link w:val="PedmtkomenteChar"/>
    <w:rsid w:val="00D341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3416F"/>
    <w:rPr>
      <w:b/>
      <w:bCs/>
    </w:rPr>
  </w:style>
  <w:style w:type="paragraph" w:customStyle="1" w:styleId="Default">
    <w:name w:val="Default"/>
    <w:rsid w:val="00FC62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aktury@nemz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irina.bilkova@nemz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230E6-E6D0-4049-B0E3-F2873FC4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1419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Advokátní kancelář</Company>
  <LinksUpToDate>false</LinksUpToDate>
  <CharactersWithSpaces>9775</CharactersWithSpaces>
  <SharedDoc>false</SharedDoc>
  <HLinks>
    <vt:vector size="12" baseType="variant">
      <vt:variant>
        <vt:i4>3538984</vt:i4>
      </vt:variant>
      <vt:variant>
        <vt:i4>3</vt:i4>
      </vt:variant>
      <vt:variant>
        <vt:i4>0</vt:i4>
      </vt:variant>
      <vt:variant>
        <vt:i4>5</vt:i4>
      </vt:variant>
      <vt:variant>
        <vt:lpwstr>http://www.hzscr.cz/soubor/odkazy-pozarni-prevence-predpisy-vyhlaska-246-2001-pdf.aspx</vt:lpwstr>
      </vt:variant>
      <vt:variant>
        <vt:lpwstr/>
      </vt:variant>
      <vt:variant>
        <vt:i4>65643</vt:i4>
      </vt:variant>
      <vt:variant>
        <vt:i4>0</vt:i4>
      </vt:variant>
      <vt:variant>
        <vt:i4>0</vt:i4>
      </vt:variant>
      <vt:variant>
        <vt:i4>5</vt:i4>
      </vt:variant>
      <vt:variant>
        <vt:lpwstr>mailto:cvandova.milena@zzsjmk.cz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JUDr. Petr Smejkal</dc:creator>
  <cp:keywords/>
  <dc:description/>
  <cp:lastModifiedBy>Jiřina Bílková</cp:lastModifiedBy>
  <cp:revision>10</cp:revision>
  <cp:lastPrinted>2024-08-21T08:27:00Z</cp:lastPrinted>
  <dcterms:created xsi:type="dcterms:W3CDTF">2025-03-27T14:05:00Z</dcterms:created>
  <dcterms:modified xsi:type="dcterms:W3CDTF">2025-04-09T09:06:00Z</dcterms:modified>
</cp:coreProperties>
</file>